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C38" w:rsidRPr="004839E2" w:rsidRDefault="00350C38" w:rsidP="00350C38">
      <w:pPr>
        <w:rPr>
          <w:b/>
          <w:color w:val="000000" w:themeColor="text1"/>
        </w:rPr>
      </w:pPr>
      <w:r w:rsidRPr="004839E2">
        <w:rPr>
          <w:b/>
          <w:color w:val="000000" w:themeColor="text1"/>
        </w:rPr>
        <w:t>ROGER</w:t>
      </w:r>
    </w:p>
    <w:p w:rsidR="00350C38" w:rsidRPr="004839E2" w:rsidRDefault="00350C38" w:rsidP="00350C38">
      <w:pPr>
        <w:rPr>
          <w:color w:val="000000" w:themeColor="text1"/>
        </w:rPr>
      </w:pPr>
    </w:p>
    <w:p w:rsidR="000547E9" w:rsidRPr="004839E2" w:rsidRDefault="000547E9" w:rsidP="000547E9">
      <w:pPr>
        <w:pStyle w:val="Akapitzlist"/>
        <w:numPr>
          <w:ilvl w:val="0"/>
          <w:numId w:val="6"/>
        </w:numPr>
        <w:rPr>
          <w:rFonts w:ascii="Arial Narrow" w:hAnsi="Arial Narrow"/>
          <w:color w:val="000000" w:themeColor="text1"/>
        </w:rPr>
      </w:pPr>
      <w:r w:rsidRPr="004839E2">
        <w:rPr>
          <w:rFonts w:ascii="Arial Narrow" w:hAnsi="Arial Narrow"/>
          <w:color w:val="000000" w:themeColor="text1"/>
        </w:rPr>
        <w:t>System - ograniczenia</w:t>
      </w:r>
    </w:p>
    <w:p w:rsidR="000547E9" w:rsidRPr="004839E2" w:rsidRDefault="000547E9" w:rsidP="00350C38">
      <w:pPr>
        <w:rPr>
          <w:color w:val="000000" w:themeColor="text1"/>
        </w:rPr>
      </w:pPr>
    </w:p>
    <w:p w:rsidR="000547E9" w:rsidRPr="004839E2" w:rsidRDefault="000547E9" w:rsidP="000547E9">
      <w:pPr>
        <w:rPr>
          <w:color w:val="000000" w:themeColor="text1"/>
        </w:rPr>
      </w:pPr>
      <w:proofErr w:type="spellStart"/>
      <w:r w:rsidRPr="004839E2">
        <w:rPr>
          <w:color w:val="000000" w:themeColor="text1"/>
        </w:rPr>
        <w:t>RACS</w:t>
      </w:r>
      <w:proofErr w:type="spellEnd"/>
      <w:r w:rsidRPr="004839E2">
        <w:rPr>
          <w:color w:val="000000" w:themeColor="text1"/>
        </w:rPr>
        <w:t xml:space="preserve"> 4 to sieciowy system kontroli dostępu obejmujący: kontrolery dostępu pojedynczego przejścia, czytniki zbliżeniowe oraz biometryczne, interfejsy komunikacyjne, moduły rozszerzeń, centrale oraz oprogramowanie zarządzające.</w:t>
      </w:r>
    </w:p>
    <w:p w:rsidR="000547E9" w:rsidRPr="004839E2" w:rsidRDefault="000547E9" w:rsidP="000547E9">
      <w:pPr>
        <w:rPr>
          <w:color w:val="000000" w:themeColor="text1"/>
        </w:rPr>
      </w:pPr>
      <w:r w:rsidRPr="004839E2">
        <w:rPr>
          <w:color w:val="000000" w:themeColor="text1"/>
        </w:rPr>
        <w:t xml:space="preserve">Funkcjonalność systemu zależy od rodzaju sprzętu użytego w danej instalacji. System kontroli dostępu </w:t>
      </w:r>
      <w:proofErr w:type="spellStart"/>
      <w:r w:rsidRPr="004839E2">
        <w:rPr>
          <w:color w:val="000000" w:themeColor="text1"/>
        </w:rPr>
        <w:t>RACS</w:t>
      </w:r>
      <w:proofErr w:type="spellEnd"/>
      <w:r w:rsidRPr="004839E2">
        <w:rPr>
          <w:color w:val="000000" w:themeColor="text1"/>
        </w:rPr>
        <w:t xml:space="preserve"> 4 może zostać podzielony na osobne gałęzie zwane podsystemami kontroli dostępu, przy czym w obrębie jednego systemu kontroli dostępu można zintegrować do 250 podsystemów. W każdym podsystemie może funkcjonować do 32 kontrolerów dostępu połączonych za pomocą magistrali komunikacyjnej RS485 o maksymalnej długości 1200m. System kontroli dostępu </w:t>
      </w:r>
      <w:proofErr w:type="spellStart"/>
      <w:r w:rsidRPr="004839E2">
        <w:rPr>
          <w:color w:val="000000" w:themeColor="text1"/>
        </w:rPr>
        <w:t>RACS</w:t>
      </w:r>
      <w:proofErr w:type="spellEnd"/>
      <w:r w:rsidRPr="004839E2">
        <w:rPr>
          <w:color w:val="000000" w:themeColor="text1"/>
        </w:rPr>
        <w:t xml:space="preserve"> zarządzany jest z poziomu bezpłatnego oprogramowania </w:t>
      </w:r>
      <w:proofErr w:type="spellStart"/>
      <w:r w:rsidRPr="004839E2">
        <w:rPr>
          <w:color w:val="000000" w:themeColor="text1"/>
        </w:rPr>
        <w:t>PR</w:t>
      </w:r>
      <w:proofErr w:type="spellEnd"/>
      <w:r w:rsidRPr="004839E2">
        <w:rPr>
          <w:color w:val="000000" w:themeColor="text1"/>
        </w:rPr>
        <w:t xml:space="preserve"> Master za pośrednictwem portów szeregowych (</w:t>
      </w:r>
      <w:proofErr w:type="spellStart"/>
      <w:r w:rsidRPr="004839E2">
        <w:rPr>
          <w:color w:val="000000" w:themeColor="text1"/>
        </w:rPr>
        <w:t>COM</w:t>
      </w:r>
      <w:proofErr w:type="spellEnd"/>
      <w:r w:rsidRPr="004839E2">
        <w:rPr>
          <w:color w:val="000000" w:themeColor="text1"/>
        </w:rPr>
        <w:t xml:space="preserve"> lub </w:t>
      </w:r>
      <w:proofErr w:type="spellStart"/>
      <w:r w:rsidRPr="004839E2">
        <w:rPr>
          <w:color w:val="000000" w:themeColor="text1"/>
        </w:rPr>
        <w:t>USB</w:t>
      </w:r>
      <w:proofErr w:type="spellEnd"/>
      <w:r w:rsidRPr="004839E2">
        <w:rPr>
          <w:color w:val="000000" w:themeColor="text1"/>
        </w:rPr>
        <w:t>) lub poprzez sieć komputerową (WAN/LAN</w:t>
      </w:r>
      <w:proofErr w:type="gramStart"/>
      <w:r w:rsidRPr="004839E2">
        <w:rPr>
          <w:color w:val="000000" w:themeColor="text1"/>
        </w:rPr>
        <w:t>). System</w:t>
      </w:r>
      <w:proofErr w:type="gramEnd"/>
      <w:r w:rsidRPr="004839E2">
        <w:rPr>
          <w:color w:val="000000" w:themeColor="text1"/>
        </w:rPr>
        <w:t xml:space="preserve"> kontroli dostępu </w:t>
      </w:r>
      <w:proofErr w:type="spellStart"/>
      <w:r w:rsidRPr="004839E2">
        <w:rPr>
          <w:color w:val="000000" w:themeColor="text1"/>
        </w:rPr>
        <w:t>RACS</w:t>
      </w:r>
      <w:proofErr w:type="spellEnd"/>
      <w:r w:rsidRPr="004839E2">
        <w:rPr>
          <w:color w:val="000000" w:themeColor="text1"/>
        </w:rPr>
        <w:t xml:space="preserve"> 4 jest dedykowany do małych oraz średnich instalacji kontroli dostępu i może obsługiwać </w:t>
      </w:r>
      <w:r w:rsidRPr="004839E2">
        <w:rPr>
          <w:color w:val="000000" w:themeColor="text1"/>
          <w:u w:val="single"/>
        </w:rPr>
        <w:t>do 1000 kontrolerów (przejść)</w:t>
      </w:r>
      <w:r w:rsidRPr="004839E2">
        <w:rPr>
          <w:color w:val="000000" w:themeColor="text1"/>
        </w:rPr>
        <w:t xml:space="preserve"> oraz do 4000 użytkowników (kontrolery serii PRxx2) lub do 1000 użytkowników (kontrolery serii PRxx1).</w:t>
      </w:r>
    </w:p>
    <w:p w:rsidR="000547E9" w:rsidRPr="004839E2" w:rsidRDefault="000547E9" w:rsidP="00350C38">
      <w:pPr>
        <w:rPr>
          <w:color w:val="000000" w:themeColor="text1"/>
        </w:rPr>
      </w:pPr>
    </w:p>
    <w:p w:rsidR="00DD20E5" w:rsidRPr="004839E2" w:rsidRDefault="00DD20E5" w:rsidP="00350C38">
      <w:pPr>
        <w:rPr>
          <w:color w:val="000000" w:themeColor="text1"/>
        </w:rPr>
      </w:pPr>
      <w:r w:rsidRPr="004839E2">
        <w:rPr>
          <w:noProof/>
          <w:color w:val="000000" w:themeColor="text1"/>
        </w:rPr>
        <w:drawing>
          <wp:inline distT="0" distB="0" distL="0" distR="0">
            <wp:extent cx="4191702" cy="6540500"/>
            <wp:effectExtent l="19050" t="0" r="0" b="0"/>
            <wp:docPr id="1" name="Obraz 1" descr="Struktura systemu RA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uktura systemu RACS"/>
                    <pic:cNvPicPr>
                      <a:picLocks noChangeAspect="1" noChangeArrowheads="1"/>
                    </pic:cNvPicPr>
                  </pic:nvPicPr>
                  <pic:blipFill>
                    <a:blip r:embed="rId5" cstate="print"/>
                    <a:srcRect/>
                    <a:stretch>
                      <a:fillRect/>
                    </a:stretch>
                  </pic:blipFill>
                  <pic:spPr bwMode="auto">
                    <a:xfrm>
                      <a:off x="0" y="0"/>
                      <a:ext cx="4191702" cy="6540500"/>
                    </a:xfrm>
                    <a:prstGeom prst="rect">
                      <a:avLst/>
                    </a:prstGeom>
                    <a:noFill/>
                    <a:ln w="9525">
                      <a:noFill/>
                      <a:miter lim="800000"/>
                      <a:headEnd/>
                      <a:tailEnd/>
                    </a:ln>
                  </pic:spPr>
                </pic:pic>
              </a:graphicData>
            </a:graphic>
          </wp:inline>
        </w:drawing>
      </w:r>
    </w:p>
    <w:p w:rsidR="00DD20E5" w:rsidRPr="004839E2" w:rsidRDefault="00DD20E5" w:rsidP="00350C38">
      <w:pPr>
        <w:rPr>
          <w:color w:val="000000" w:themeColor="text1"/>
        </w:rPr>
      </w:pPr>
    </w:p>
    <w:p w:rsidR="00DD20E5" w:rsidRPr="004839E2" w:rsidRDefault="00DD20E5" w:rsidP="00350C38">
      <w:pPr>
        <w:rPr>
          <w:color w:val="000000" w:themeColor="text1"/>
        </w:rPr>
      </w:pPr>
      <w:r w:rsidRPr="004839E2">
        <w:rPr>
          <w:noProof/>
          <w:color w:val="000000" w:themeColor="text1"/>
        </w:rPr>
        <w:lastRenderedPageBreak/>
        <w:drawing>
          <wp:inline distT="0" distB="0" distL="0" distR="0">
            <wp:extent cx="4294991" cy="5278056"/>
            <wp:effectExtent l="19050" t="0" r="0" b="0"/>
            <wp:docPr id="4" name="Obraz 4" descr="Wewnętrzna struktura pojedynczej sieci RA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wnętrzna struktura pojedynczej sieci RACS"/>
                    <pic:cNvPicPr>
                      <a:picLocks noChangeAspect="1" noChangeArrowheads="1"/>
                    </pic:cNvPicPr>
                  </pic:nvPicPr>
                  <pic:blipFill>
                    <a:blip r:embed="rId6" cstate="print"/>
                    <a:srcRect/>
                    <a:stretch>
                      <a:fillRect/>
                    </a:stretch>
                  </pic:blipFill>
                  <pic:spPr bwMode="auto">
                    <a:xfrm>
                      <a:off x="0" y="0"/>
                      <a:ext cx="4293660" cy="5276421"/>
                    </a:xfrm>
                    <a:prstGeom prst="rect">
                      <a:avLst/>
                    </a:prstGeom>
                    <a:noFill/>
                    <a:ln w="9525">
                      <a:noFill/>
                      <a:miter lim="800000"/>
                      <a:headEnd/>
                      <a:tailEnd/>
                    </a:ln>
                  </pic:spPr>
                </pic:pic>
              </a:graphicData>
            </a:graphic>
          </wp:inline>
        </w:drawing>
      </w:r>
    </w:p>
    <w:p w:rsidR="00DD20E5" w:rsidRPr="004839E2" w:rsidRDefault="00DD20E5" w:rsidP="00350C38">
      <w:pPr>
        <w:rPr>
          <w:color w:val="000000" w:themeColor="text1"/>
        </w:rPr>
      </w:pPr>
    </w:p>
    <w:p w:rsidR="007F0B15" w:rsidRPr="004839E2" w:rsidRDefault="007F0B15">
      <w:pPr>
        <w:rPr>
          <w:color w:val="000000" w:themeColor="text1"/>
        </w:rPr>
      </w:pPr>
      <w:r w:rsidRPr="004839E2">
        <w:rPr>
          <w:color w:val="000000" w:themeColor="text1"/>
        </w:rPr>
        <w:br w:type="page"/>
      </w:r>
    </w:p>
    <w:p w:rsidR="007F0B15" w:rsidRPr="004839E2" w:rsidRDefault="007F0B15" w:rsidP="007F0B15">
      <w:pPr>
        <w:pStyle w:val="Akapitzlist"/>
        <w:numPr>
          <w:ilvl w:val="0"/>
          <w:numId w:val="6"/>
        </w:numPr>
        <w:rPr>
          <w:rFonts w:ascii="Arial Narrow" w:hAnsi="Arial Narrow"/>
          <w:color w:val="000000" w:themeColor="text1"/>
        </w:rPr>
      </w:pPr>
      <w:r w:rsidRPr="004839E2">
        <w:rPr>
          <w:rFonts w:ascii="Arial Narrow" w:hAnsi="Arial Narrow"/>
          <w:color w:val="000000" w:themeColor="text1"/>
        </w:rPr>
        <w:lastRenderedPageBreak/>
        <w:t>Oprogramowanie</w:t>
      </w:r>
    </w:p>
    <w:p w:rsidR="007F0B15" w:rsidRPr="004839E2" w:rsidRDefault="007F0B15" w:rsidP="007F0B15">
      <w:pPr>
        <w:rPr>
          <w:color w:val="000000" w:themeColor="text1"/>
        </w:rPr>
      </w:pPr>
    </w:p>
    <w:p w:rsidR="007F0B15" w:rsidRPr="004839E2" w:rsidRDefault="007F0B15" w:rsidP="007F0B15">
      <w:pPr>
        <w:rPr>
          <w:color w:val="000000" w:themeColor="text1"/>
        </w:rPr>
      </w:pPr>
    </w:p>
    <w:p w:rsidR="007F0B15" w:rsidRPr="004839E2" w:rsidRDefault="007F0B15" w:rsidP="007F0B15">
      <w:pPr>
        <w:rPr>
          <w:color w:val="000000" w:themeColor="text1"/>
        </w:rPr>
      </w:pPr>
    </w:p>
    <w:tbl>
      <w:tblPr>
        <w:tblW w:w="9953" w:type="dxa"/>
        <w:tblCellSpacing w:w="15" w:type="dxa"/>
        <w:tblInd w:w="30" w:type="dxa"/>
        <w:tblCellMar>
          <w:left w:w="0" w:type="dxa"/>
          <w:right w:w="0" w:type="dxa"/>
        </w:tblCellMar>
        <w:tblLook w:val="04A0"/>
      </w:tblPr>
      <w:tblGrid>
        <w:gridCol w:w="9953"/>
      </w:tblGrid>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b/>
                <w:color w:val="000000" w:themeColor="text1"/>
              </w:rPr>
            </w:pPr>
            <w:r w:rsidRPr="004839E2">
              <w:rPr>
                <w:rFonts w:cs="Arial"/>
                <w:b/>
                <w:color w:val="000000" w:themeColor="text1"/>
              </w:rPr>
              <w:t>Charakterystyka</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Obsługa kontrolerów serii PRxx1 oraz PRxx2</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Do 32 kontrolerów (przejść) w jednym podsystemie</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Do 250 podsystemów w ramach całego systemu </w:t>
            </w:r>
            <w:proofErr w:type="spellStart"/>
            <w:r w:rsidRPr="004839E2">
              <w:rPr>
                <w:rFonts w:cs="Arial"/>
                <w:color w:val="000000" w:themeColor="text1"/>
              </w:rPr>
              <w:t>KD</w:t>
            </w:r>
            <w:proofErr w:type="spellEnd"/>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Komunikacja z podsystemami za pomocą portu szeregowego (</w:t>
            </w:r>
            <w:proofErr w:type="spellStart"/>
            <w:r w:rsidRPr="004839E2">
              <w:rPr>
                <w:rFonts w:cs="Arial"/>
                <w:color w:val="000000" w:themeColor="text1"/>
              </w:rPr>
              <w:t>COM</w:t>
            </w:r>
            <w:proofErr w:type="spellEnd"/>
            <w:r w:rsidRPr="004839E2">
              <w:rPr>
                <w:rFonts w:cs="Arial"/>
                <w:color w:val="000000" w:themeColor="text1"/>
              </w:rPr>
              <w:t xml:space="preserve">, </w:t>
            </w:r>
            <w:proofErr w:type="spellStart"/>
            <w:r w:rsidRPr="004839E2">
              <w:rPr>
                <w:rFonts w:cs="Arial"/>
                <w:color w:val="000000" w:themeColor="text1"/>
              </w:rPr>
              <w:t>USB</w:t>
            </w:r>
            <w:proofErr w:type="spellEnd"/>
            <w:r w:rsidRPr="004839E2">
              <w:rPr>
                <w:rFonts w:cs="Arial"/>
                <w:color w:val="000000" w:themeColor="text1"/>
              </w:rPr>
              <w:t>) lub sieci komputerowej (LAN, WAN)</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Monitorowanie zdarzeń w czasie rzeczywistym na komputerze lokalnym oraz komputerach zdalnych</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Obsługa czytników EM 125 kHz (</w:t>
            </w:r>
            <w:proofErr w:type="spellStart"/>
            <w:r w:rsidRPr="004839E2">
              <w:rPr>
                <w:rFonts w:cs="Arial"/>
                <w:color w:val="000000" w:themeColor="text1"/>
              </w:rPr>
              <w:t>Unique</w:t>
            </w:r>
            <w:proofErr w:type="spellEnd"/>
            <w:r w:rsidRPr="004839E2">
              <w:rPr>
                <w:rFonts w:cs="Arial"/>
                <w:color w:val="000000" w:themeColor="text1"/>
              </w:rPr>
              <w:t xml:space="preserve">), czytników </w:t>
            </w:r>
            <w:proofErr w:type="spellStart"/>
            <w:r w:rsidRPr="004839E2">
              <w:rPr>
                <w:rFonts w:cs="Arial"/>
                <w:color w:val="000000" w:themeColor="text1"/>
              </w:rPr>
              <w:t>MIFARE</w:t>
            </w:r>
            <w:proofErr w:type="spellEnd"/>
            <w:r w:rsidRPr="004839E2">
              <w:rPr>
                <w:rFonts w:cs="Arial"/>
                <w:color w:val="000000" w:themeColor="text1"/>
              </w:rPr>
              <w:t>®, czytników linii papilarnych oraz czytników dalekiego zasięgu</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Wysyłanie interaktywnych komend do systemu</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Przeglądanie i filtrowanie historii zdarzeń</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Eksportowanie historii zdarzeń do plików zewnętrznych</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Monitorowanie zdarzeń i alarmów w czasie rzeczywistym na komputerze lokalnym lub zdalnym</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Powiadamianie o zdarzeniach za pomocą poczty e-mail</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Generowanie raportów obecności</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Integracja z systemami: </w:t>
            </w:r>
            <w:proofErr w:type="spellStart"/>
            <w:r w:rsidRPr="004839E2">
              <w:rPr>
                <w:rFonts w:cs="Arial"/>
                <w:color w:val="000000" w:themeColor="text1"/>
              </w:rPr>
              <w:t>RCP</w:t>
            </w:r>
            <w:proofErr w:type="spellEnd"/>
            <w:r w:rsidRPr="004839E2">
              <w:rPr>
                <w:rFonts w:cs="Arial"/>
                <w:color w:val="000000" w:themeColor="text1"/>
              </w:rPr>
              <w:t xml:space="preserve">, </w:t>
            </w:r>
            <w:proofErr w:type="spellStart"/>
            <w:r w:rsidRPr="004839E2">
              <w:rPr>
                <w:rFonts w:cs="Arial"/>
                <w:color w:val="000000" w:themeColor="text1"/>
              </w:rPr>
              <w:t>CCTV</w:t>
            </w:r>
            <w:proofErr w:type="spellEnd"/>
            <w:r w:rsidRPr="004839E2">
              <w:rPr>
                <w:rFonts w:cs="Arial"/>
                <w:color w:val="000000" w:themeColor="text1"/>
              </w:rPr>
              <w:t xml:space="preserve">, </w:t>
            </w:r>
            <w:proofErr w:type="spellStart"/>
            <w:r w:rsidRPr="004839E2">
              <w:rPr>
                <w:rFonts w:cs="Arial"/>
                <w:color w:val="000000" w:themeColor="text1"/>
              </w:rPr>
              <w:t>SSWiN</w:t>
            </w:r>
            <w:proofErr w:type="spellEnd"/>
            <w:r w:rsidRPr="004839E2">
              <w:rPr>
                <w:rFonts w:cs="Arial"/>
                <w:color w:val="000000" w:themeColor="text1"/>
              </w:rPr>
              <w:t xml:space="preserve">, </w:t>
            </w:r>
            <w:proofErr w:type="spellStart"/>
            <w:r w:rsidRPr="004839E2">
              <w:rPr>
                <w:rFonts w:cs="Arial"/>
                <w:color w:val="000000" w:themeColor="text1"/>
              </w:rPr>
              <w:t>SSP</w:t>
            </w:r>
            <w:proofErr w:type="spellEnd"/>
            <w:r w:rsidRPr="004839E2">
              <w:rPr>
                <w:rFonts w:cs="Arial"/>
                <w:color w:val="000000" w:themeColor="text1"/>
              </w:rPr>
              <w:t xml:space="preserve">, </w:t>
            </w:r>
            <w:proofErr w:type="spellStart"/>
            <w:r w:rsidRPr="004839E2">
              <w:rPr>
                <w:rFonts w:cs="Arial"/>
                <w:color w:val="000000" w:themeColor="text1"/>
              </w:rPr>
              <w:t>BMS</w:t>
            </w:r>
            <w:proofErr w:type="spellEnd"/>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Integracje z systemami </w:t>
            </w:r>
            <w:proofErr w:type="spellStart"/>
            <w:r w:rsidRPr="004839E2">
              <w:rPr>
                <w:rFonts w:cs="Arial"/>
                <w:color w:val="000000" w:themeColor="text1"/>
              </w:rPr>
              <w:t>Integra</w:t>
            </w:r>
            <w:proofErr w:type="spellEnd"/>
            <w:r w:rsidRPr="004839E2">
              <w:rPr>
                <w:rFonts w:cs="Arial"/>
                <w:color w:val="000000" w:themeColor="text1"/>
              </w:rPr>
              <w:t xml:space="preserve"> (Satel) i </w:t>
            </w:r>
            <w:proofErr w:type="spellStart"/>
            <w:r w:rsidRPr="004839E2">
              <w:rPr>
                <w:rFonts w:cs="Arial"/>
                <w:color w:val="000000" w:themeColor="text1"/>
              </w:rPr>
              <w:t>Sallis</w:t>
            </w:r>
            <w:proofErr w:type="spellEnd"/>
            <w:r w:rsidRPr="004839E2">
              <w:rPr>
                <w:rFonts w:cs="Arial"/>
                <w:color w:val="000000" w:themeColor="text1"/>
              </w:rPr>
              <w:t xml:space="preserve"> (Salto)</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Wizualizacja pracy systemu na mapie obiektu</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Automatyczny i konfigurowalny system tworzenia kopii zapasowych bazy danych systemu</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Przyznawanie różnych poziomów uprawnień operatorom aplikacji</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Baza danych </w:t>
            </w:r>
            <w:proofErr w:type="spellStart"/>
            <w:r w:rsidRPr="004839E2">
              <w:rPr>
                <w:rFonts w:cs="Arial"/>
                <w:color w:val="000000" w:themeColor="text1"/>
              </w:rPr>
              <w:t>Paradox</w:t>
            </w:r>
            <w:proofErr w:type="spellEnd"/>
            <w:r w:rsidRPr="004839E2">
              <w:rPr>
                <w:rFonts w:cs="Arial"/>
                <w:color w:val="000000" w:themeColor="text1"/>
              </w:rPr>
              <w:t xml:space="preserve"> (</w:t>
            </w:r>
            <w:proofErr w:type="spellStart"/>
            <w:r w:rsidRPr="004839E2">
              <w:rPr>
                <w:rFonts w:cs="Arial"/>
                <w:color w:val="000000" w:themeColor="text1"/>
              </w:rPr>
              <w:t>BDE</w:t>
            </w:r>
            <w:proofErr w:type="spellEnd"/>
            <w:r w:rsidRPr="004839E2">
              <w:rPr>
                <w:rFonts w:cs="Arial"/>
                <w:color w:val="000000" w:themeColor="text1"/>
              </w:rPr>
              <w:t>)</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Eksport/import ustawień do/z pliku zewnętrznego w formacie </w:t>
            </w:r>
            <w:proofErr w:type="spellStart"/>
            <w:r w:rsidRPr="004839E2">
              <w:rPr>
                <w:rFonts w:cs="Arial"/>
                <w:color w:val="000000" w:themeColor="text1"/>
              </w:rPr>
              <w:t>XML</w:t>
            </w:r>
            <w:proofErr w:type="spellEnd"/>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Możliwość integracji programowej za pomocą kontrolki </w:t>
            </w:r>
            <w:proofErr w:type="spellStart"/>
            <w:r w:rsidRPr="004839E2">
              <w:rPr>
                <w:rFonts w:cs="Arial"/>
                <w:color w:val="000000" w:themeColor="text1"/>
              </w:rPr>
              <w:t>API</w:t>
            </w:r>
            <w:proofErr w:type="spellEnd"/>
            <w:r w:rsidRPr="004839E2">
              <w:rPr>
                <w:rFonts w:cs="Arial"/>
                <w:color w:val="000000" w:themeColor="text1"/>
              </w:rPr>
              <w:t xml:space="preserve"> (OLE Automation)</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Wymagania techniczne</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Sprzęt: procesor 800 MHz lub wyższy, pamięć 512 MB (zalecane 1GB)</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Systemy operacyjne: 32-bitowe od Windows </w:t>
            </w:r>
            <w:proofErr w:type="spellStart"/>
            <w:r w:rsidRPr="004839E2">
              <w:rPr>
                <w:rFonts w:cs="Arial"/>
                <w:color w:val="000000" w:themeColor="text1"/>
              </w:rPr>
              <w:t>XP</w:t>
            </w:r>
            <w:proofErr w:type="spellEnd"/>
            <w:r w:rsidRPr="004839E2">
              <w:rPr>
                <w:rFonts w:cs="Arial"/>
                <w:color w:val="000000" w:themeColor="text1"/>
              </w:rPr>
              <w:t xml:space="preserve"> wzwyż, 64-bitowe od Windows Vista wzwyż</w:t>
            </w:r>
          </w:p>
        </w:tc>
      </w:tr>
      <w:tr w:rsidR="007F0B15" w:rsidRPr="004839E2" w:rsidTr="007F0B15">
        <w:trPr>
          <w:tblCellSpacing w:w="15" w:type="dxa"/>
        </w:trPr>
        <w:tc>
          <w:tcPr>
            <w:tcW w:w="9893" w:type="dxa"/>
            <w:tcBorders>
              <w:top w:val="nil"/>
              <w:left w:val="nil"/>
              <w:bottom w:val="nil"/>
              <w:right w:val="nil"/>
            </w:tcBorders>
            <w:vAlign w:val="center"/>
            <w:hideMark/>
          </w:tcPr>
          <w:p w:rsidR="007F0B15" w:rsidRPr="004839E2" w:rsidRDefault="007F0B15" w:rsidP="007F0B15">
            <w:pPr>
              <w:spacing w:line="306" w:lineRule="atLeast"/>
              <w:rPr>
                <w:rFonts w:cs="Arial"/>
                <w:color w:val="000000" w:themeColor="text1"/>
              </w:rPr>
            </w:pPr>
            <w:r w:rsidRPr="004839E2">
              <w:rPr>
                <w:rFonts w:cs="Arial"/>
                <w:color w:val="000000" w:themeColor="text1"/>
              </w:rPr>
              <w:t xml:space="preserve">Uwaga: system MS Vista wymaga zainstalowanego Service </w:t>
            </w:r>
            <w:proofErr w:type="spellStart"/>
            <w:r w:rsidRPr="004839E2">
              <w:rPr>
                <w:rFonts w:cs="Arial"/>
                <w:color w:val="000000" w:themeColor="text1"/>
              </w:rPr>
              <w:t>Pack</w:t>
            </w:r>
            <w:proofErr w:type="spellEnd"/>
            <w:r w:rsidRPr="004839E2">
              <w:rPr>
                <w:rFonts w:cs="Arial"/>
                <w:color w:val="000000" w:themeColor="text1"/>
              </w:rPr>
              <w:t xml:space="preserve"> 1</w:t>
            </w:r>
          </w:p>
        </w:tc>
      </w:tr>
    </w:tbl>
    <w:p w:rsidR="007F0B15" w:rsidRPr="004839E2" w:rsidRDefault="007F0B15" w:rsidP="007F0B15">
      <w:pPr>
        <w:rPr>
          <w:color w:val="000000" w:themeColor="text1"/>
        </w:rPr>
      </w:pPr>
    </w:p>
    <w:p w:rsidR="007F0B15" w:rsidRPr="004839E2" w:rsidRDefault="007F0B15">
      <w:pPr>
        <w:rPr>
          <w:color w:val="000000" w:themeColor="text1"/>
        </w:rPr>
      </w:pPr>
      <w:r w:rsidRPr="004839E2">
        <w:rPr>
          <w:color w:val="000000" w:themeColor="text1"/>
        </w:rPr>
        <w:br w:type="page"/>
      </w:r>
    </w:p>
    <w:p w:rsidR="008707E4" w:rsidRPr="004839E2" w:rsidRDefault="008707E4" w:rsidP="008707E4">
      <w:pPr>
        <w:pStyle w:val="Akapitzlist"/>
        <w:numPr>
          <w:ilvl w:val="0"/>
          <w:numId w:val="6"/>
        </w:numPr>
        <w:rPr>
          <w:rFonts w:ascii="Arial Narrow" w:hAnsi="Arial Narrow"/>
          <w:color w:val="000000" w:themeColor="text1"/>
        </w:rPr>
      </w:pPr>
      <w:r w:rsidRPr="004839E2">
        <w:rPr>
          <w:rFonts w:ascii="Arial Narrow" w:hAnsi="Arial Narrow"/>
          <w:color w:val="000000" w:themeColor="text1"/>
        </w:rPr>
        <w:lastRenderedPageBreak/>
        <w:t>Standardowe kontrolery dostępu</w:t>
      </w:r>
    </w:p>
    <w:p w:rsidR="008707E4" w:rsidRPr="004839E2" w:rsidRDefault="008707E4" w:rsidP="008707E4">
      <w:pPr>
        <w:rPr>
          <w:color w:val="000000" w:themeColor="text1"/>
        </w:rPr>
      </w:pPr>
    </w:p>
    <w:p w:rsidR="008707E4" w:rsidRPr="004839E2" w:rsidRDefault="008707E4" w:rsidP="008707E4">
      <w:pPr>
        <w:rPr>
          <w:color w:val="000000" w:themeColor="text1"/>
        </w:rPr>
      </w:pPr>
      <w:r w:rsidRPr="004839E2">
        <w:rPr>
          <w:color w:val="000000" w:themeColor="text1"/>
        </w:rPr>
        <w:t xml:space="preserve">Kontrolery serii PRxx1 zostały zaprojektowane z myślą o najbardziej popularnych rozwiązaniach kontroli dostępu. Mogą być wykorzystywane zarówno w instalacjach autonomicznych jak i sieciowych do 1000 użytkowników. Pracując w trybie autonomicznym kontrolery </w:t>
      </w:r>
      <w:r w:rsidRPr="004839E2">
        <w:rPr>
          <w:color w:val="000000" w:themeColor="text1"/>
          <w:u w:val="single"/>
        </w:rPr>
        <w:t>nie oferują</w:t>
      </w:r>
      <w:r w:rsidRPr="004839E2">
        <w:rPr>
          <w:color w:val="000000" w:themeColor="text1"/>
        </w:rPr>
        <w:t xml:space="preserve"> harmonogramów czasowych oraz rejestracji zdarzeń, jednakże po uzupełnieniu systemu o centralę </w:t>
      </w:r>
      <w:proofErr w:type="spellStart"/>
      <w:r w:rsidRPr="004839E2">
        <w:rPr>
          <w:color w:val="000000" w:themeColor="text1"/>
        </w:rPr>
        <w:t>CPR</w:t>
      </w:r>
      <w:proofErr w:type="spellEnd"/>
      <w:r w:rsidRPr="004839E2">
        <w:rPr>
          <w:color w:val="000000" w:themeColor="text1"/>
        </w:rPr>
        <w:t xml:space="preserve"> obie wymienione wcześniej funkcje stają się dostępne. Jedna centrala </w:t>
      </w:r>
      <w:proofErr w:type="spellStart"/>
      <w:r w:rsidRPr="004839E2">
        <w:rPr>
          <w:color w:val="000000" w:themeColor="text1"/>
        </w:rPr>
        <w:t>CPR</w:t>
      </w:r>
      <w:proofErr w:type="spellEnd"/>
      <w:r w:rsidRPr="004839E2">
        <w:rPr>
          <w:color w:val="000000" w:themeColor="text1"/>
        </w:rPr>
        <w:t xml:space="preserve"> może obsługiwać do 32 kontrolerów serii PRxx1.</w:t>
      </w:r>
    </w:p>
    <w:p w:rsidR="008707E4" w:rsidRPr="004839E2" w:rsidRDefault="008707E4" w:rsidP="008707E4">
      <w:pPr>
        <w:rPr>
          <w:color w:val="000000" w:themeColor="text1"/>
        </w:rPr>
      </w:pPr>
      <w:r w:rsidRPr="004839E2">
        <w:rPr>
          <w:color w:val="000000" w:themeColor="text1"/>
        </w:rPr>
        <w:t xml:space="preserve">Gdy komunikacja z centralą </w:t>
      </w:r>
      <w:proofErr w:type="spellStart"/>
      <w:r w:rsidRPr="004839E2">
        <w:rPr>
          <w:color w:val="000000" w:themeColor="text1"/>
        </w:rPr>
        <w:t>CPR</w:t>
      </w:r>
      <w:proofErr w:type="spellEnd"/>
      <w:r w:rsidRPr="004839E2">
        <w:rPr>
          <w:color w:val="000000" w:themeColor="text1"/>
        </w:rPr>
        <w:t xml:space="preserve"> zostaje przerwana kontrolery przełączają się automatycznie do trybu autonomicznego i kontynuują swoje działanie zgodnie z ustawieniami, które obowiązywały w momencie awarii magistrali komunikacyjnej.</w:t>
      </w:r>
    </w:p>
    <w:p w:rsidR="008707E4" w:rsidRPr="004839E2" w:rsidRDefault="008707E4" w:rsidP="008707E4">
      <w:pPr>
        <w:rPr>
          <w:color w:val="000000" w:themeColor="text1"/>
        </w:rPr>
      </w:pPr>
      <w:r w:rsidRPr="004839E2">
        <w:rPr>
          <w:color w:val="000000" w:themeColor="text1"/>
        </w:rPr>
        <w:t xml:space="preserve">Wszystkie kontrolery serii PRxx1 są wyposażone w interfejs komunikacyjny RS485, który może zostać wykorzystany zarówno do ich programowania jak i do komunikacji w systemie sieciowym. System kontroli dostępu na bazie kontrolerów PRxx1 może być zarządzany lokalnie za pośrednictwem portów szeregowych </w:t>
      </w:r>
      <w:proofErr w:type="spellStart"/>
      <w:r w:rsidRPr="004839E2">
        <w:rPr>
          <w:color w:val="000000" w:themeColor="text1"/>
        </w:rPr>
        <w:t>COM</w:t>
      </w:r>
      <w:proofErr w:type="spellEnd"/>
      <w:r w:rsidRPr="004839E2">
        <w:rPr>
          <w:color w:val="000000" w:themeColor="text1"/>
        </w:rPr>
        <w:t xml:space="preserve"> lub </w:t>
      </w:r>
      <w:proofErr w:type="spellStart"/>
      <w:r w:rsidRPr="004839E2">
        <w:rPr>
          <w:color w:val="000000" w:themeColor="text1"/>
        </w:rPr>
        <w:t>USB</w:t>
      </w:r>
      <w:proofErr w:type="spellEnd"/>
      <w:r w:rsidRPr="004839E2">
        <w:rPr>
          <w:color w:val="000000" w:themeColor="text1"/>
        </w:rPr>
        <w:t>, albo zdalnie przez sieć komputerową WAN/LAN.</w:t>
      </w:r>
    </w:p>
    <w:p w:rsidR="008707E4" w:rsidRPr="004839E2" w:rsidRDefault="008707E4" w:rsidP="008707E4">
      <w:pPr>
        <w:rPr>
          <w:color w:val="000000" w:themeColor="text1"/>
        </w:rPr>
      </w:pPr>
    </w:p>
    <w:p w:rsidR="008707E4" w:rsidRPr="004839E2" w:rsidRDefault="008707E4" w:rsidP="008707E4">
      <w:pPr>
        <w:pStyle w:val="Akapitzlist"/>
        <w:numPr>
          <w:ilvl w:val="0"/>
          <w:numId w:val="6"/>
        </w:numPr>
        <w:rPr>
          <w:rFonts w:ascii="Arial Narrow" w:hAnsi="Arial Narrow"/>
          <w:color w:val="000000" w:themeColor="text1"/>
        </w:rPr>
      </w:pPr>
      <w:r w:rsidRPr="004839E2">
        <w:rPr>
          <w:rFonts w:ascii="Arial Narrow" w:hAnsi="Arial Narrow"/>
          <w:color w:val="000000" w:themeColor="text1"/>
        </w:rPr>
        <w:t>Zaawansowane kontrolery dostępu</w:t>
      </w:r>
    </w:p>
    <w:p w:rsidR="008707E4" w:rsidRPr="004839E2" w:rsidRDefault="008707E4" w:rsidP="008707E4">
      <w:pPr>
        <w:rPr>
          <w:color w:val="000000" w:themeColor="text1"/>
        </w:rPr>
      </w:pPr>
    </w:p>
    <w:p w:rsidR="008707E4" w:rsidRPr="004839E2" w:rsidRDefault="008707E4" w:rsidP="008707E4">
      <w:pPr>
        <w:rPr>
          <w:color w:val="000000" w:themeColor="text1"/>
        </w:rPr>
      </w:pPr>
      <w:r w:rsidRPr="004839E2">
        <w:rPr>
          <w:color w:val="000000" w:themeColor="text1"/>
        </w:rPr>
        <w:t xml:space="preserve">Kontrolery serii PRxx2 mogą </w:t>
      </w:r>
      <w:proofErr w:type="gramStart"/>
      <w:r w:rsidRPr="004839E2">
        <w:rPr>
          <w:color w:val="000000" w:themeColor="text1"/>
        </w:rPr>
        <w:t>pracować jako</w:t>
      </w:r>
      <w:proofErr w:type="gramEnd"/>
      <w:r w:rsidRPr="004839E2">
        <w:rPr>
          <w:color w:val="000000" w:themeColor="text1"/>
        </w:rPr>
        <w:t xml:space="preserve"> autonomiczne jednostki kontroli dostępu jak i w zintegrowanym sieciowym systemie kontroli dostępu z centralą </w:t>
      </w:r>
      <w:proofErr w:type="spellStart"/>
      <w:r w:rsidRPr="004839E2">
        <w:rPr>
          <w:color w:val="000000" w:themeColor="text1"/>
        </w:rPr>
        <w:t>CPR</w:t>
      </w:r>
      <w:proofErr w:type="spellEnd"/>
      <w:r w:rsidRPr="004839E2">
        <w:rPr>
          <w:color w:val="000000" w:themeColor="text1"/>
        </w:rPr>
        <w:t>. W trybie autonomicznym kontrolery PRxx2 mogą dozorować obustronne przejście bez potrzeby komunikacji z urządzeniami nadrzędnymi, zdarzenia są rejestrowane w wewnętrznym buforze kontrolera, a funkcje związane z czasem są sterowane przez jego wewnętrzny zegar. W trybie autonomicznym komunikacja z komputerem jest wymagana wyłącznie w celu przesłania ustawień i monitorowania pracy systemu w czasie rzeczywistym.</w:t>
      </w:r>
    </w:p>
    <w:p w:rsidR="008707E4" w:rsidRPr="004839E2" w:rsidRDefault="008707E4" w:rsidP="008707E4">
      <w:pPr>
        <w:rPr>
          <w:color w:val="000000" w:themeColor="text1"/>
        </w:rPr>
      </w:pPr>
      <w:r w:rsidRPr="004839E2">
        <w:rPr>
          <w:color w:val="000000" w:themeColor="text1"/>
        </w:rPr>
        <w:t xml:space="preserve">W zintegrowanym sieciowym systemie kontroli dostępu kontrolery serii PRxx2 wymieniają w sposób ciągły dane z centralą </w:t>
      </w:r>
      <w:proofErr w:type="spellStart"/>
      <w:r w:rsidRPr="004839E2">
        <w:rPr>
          <w:color w:val="000000" w:themeColor="text1"/>
        </w:rPr>
        <w:t>CPR</w:t>
      </w:r>
      <w:proofErr w:type="spellEnd"/>
      <w:r w:rsidRPr="004839E2">
        <w:rPr>
          <w:color w:val="000000" w:themeColor="text1"/>
        </w:rPr>
        <w:t xml:space="preserve">, która to gromadzi zdarzenia w swoim buforze pamięci oraz jest odpowiedzialna za wszelkie funkcje o charakterze globalnym (strefy </w:t>
      </w:r>
      <w:proofErr w:type="spellStart"/>
      <w:r w:rsidRPr="004839E2">
        <w:rPr>
          <w:color w:val="000000" w:themeColor="text1"/>
        </w:rPr>
        <w:t>anti-passback</w:t>
      </w:r>
      <w:proofErr w:type="spellEnd"/>
      <w:r w:rsidRPr="004839E2">
        <w:rPr>
          <w:color w:val="000000" w:themeColor="text1"/>
        </w:rPr>
        <w:t>, strefy alarmowe, itp</w:t>
      </w:r>
      <w:proofErr w:type="gramStart"/>
      <w:r w:rsidRPr="004839E2">
        <w:rPr>
          <w:color w:val="000000" w:themeColor="text1"/>
        </w:rPr>
        <w:t>.). Gdy</w:t>
      </w:r>
      <w:proofErr w:type="gramEnd"/>
      <w:r w:rsidRPr="004839E2">
        <w:rPr>
          <w:color w:val="000000" w:themeColor="text1"/>
        </w:rPr>
        <w:t xml:space="preserve"> komunikacja z centralą </w:t>
      </w:r>
      <w:proofErr w:type="spellStart"/>
      <w:r w:rsidRPr="004839E2">
        <w:rPr>
          <w:color w:val="000000" w:themeColor="text1"/>
        </w:rPr>
        <w:t>CPR</w:t>
      </w:r>
      <w:proofErr w:type="spellEnd"/>
      <w:r w:rsidRPr="004839E2">
        <w:rPr>
          <w:color w:val="000000" w:themeColor="text1"/>
        </w:rPr>
        <w:t xml:space="preserve"> zostaje zerwana kontrolery przełączają się do trybu autonomicznego i samodzielnie kontynuują pracę, lecz bez funkcji globalnych, wtedy zdarzenia są rejestrowane w ich wewnętrznych buforach pamięci.</w:t>
      </w:r>
    </w:p>
    <w:p w:rsidR="008707E4" w:rsidRPr="004839E2" w:rsidRDefault="008707E4" w:rsidP="008707E4">
      <w:pPr>
        <w:rPr>
          <w:color w:val="000000" w:themeColor="text1"/>
        </w:rPr>
      </w:pPr>
      <w:r w:rsidRPr="004839E2">
        <w:rPr>
          <w:color w:val="000000" w:themeColor="text1"/>
        </w:rPr>
        <w:t xml:space="preserve">System kontroli dostępu na bazie kontrolerów PRxx2 może być zarządzany lokalnie za pośrednictwem portów szeregowych </w:t>
      </w:r>
      <w:proofErr w:type="spellStart"/>
      <w:r w:rsidRPr="004839E2">
        <w:rPr>
          <w:color w:val="000000" w:themeColor="text1"/>
        </w:rPr>
        <w:t>COM</w:t>
      </w:r>
      <w:proofErr w:type="spellEnd"/>
      <w:r w:rsidRPr="004839E2">
        <w:rPr>
          <w:color w:val="000000" w:themeColor="text1"/>
        </w:rPr>
        <w:t xml:space="preserve"> lub </w:t>
      </w:r>
      <w:proofErr w:type="spellStart"/>
      <w:r w:rsidRPr="004839E2">
        <w:rPr>
          <w:color w:val="000000" w:themeColor="text1"/>
        </w:rPr>
        <w:t>USB</w:t>
      </w:r>
      <w:proofErr w:type="spellEnd"/>
      <w:r w:rsidRPr="004839E2">
        <w:rPr>
          <w:color w:val="000000" w:themeColor="text1"/>
        </w:rPr>
        <w:t>, albo zdalnie przez sieć komputerową WAN/LAN.</w:t>
      </w:r>
    </w:p>
    <w:p w:rsidR="007F0B15" w:rsidRPr="004839E2" w:rsidRDefault="008707E4" w:rsidP="008707E4">
      <w:pPr>
        <w:rPr>
          <w:color w:val="000000" w:themeColor="text1"/>
        </w:rPr>
      </w:pPr>
      <w:r w:rsidRPr="004839E2">
        <w:rPr>
          <w:color w:val="000000" w:themeColor="text1"/>
        </w:rPr>
        <w:t>Kontrolery PRxx2 mogą obsługiwać do 4000 użytkowników.</w:t>
      </w:r>
    </w:p>
    <w:p w:rsidR="008707E4" w:rsidRPr="004839E2" w:rsidRDefault="008707E4" w:rsidP="008707E4">
      <w:pPr>
        <w:rPr>
          <w:color w:val="000000" w:themeColor="text1"/>
        </w:rPr>
      </w:pPr>
    </w:p>
    <w:p w:rsidR="00DD20E5" w:rsidRPr="004839E2" w:rsidRDefault="00DD20E5" w:rsidP="00350C38">
      <w:pPr>
        <w:rPr>
          <w:color w:val="000000" w:themeColor="text1"/>
        </w:rPr>
      </w:pPr>
    </w:p>
    <w:p w:rsidR="000547E9" w:rsidRPr="004839E2" w:rsidRDefault="000547E9" w:rsidP="00350C38">
      <w:pPr>
        <w:rPr>
          <w:color w:val="000000" w:themeColor="text1"/>
        </w:rPr>
      </w:pPr>
    </w:p>
    <w:p w:rsidR="00350C38" w:rsidRPr="004839E2" w:rsidRDefault="00350C38" w:rsidP="00350C38">
      <w:pPr>
        <w:pStyle w:val="Akapitzlist"/>
        <w:numPr>
          <w:ilvl w:val="0"/>
          <w:numId w:val="6"/>
        </w:numPr>
        <w:rPr>
          <w:rFonts w:ascii="Arial Narrow" w:hAnsi="Arial Narrow"/>
          <w:color w:val="000000" w:themeColor="text1"/>
        </w:rPr>
      </w:pPr>
      <w:r w:rsidRPr="004839E2">
        <w:rPr>
          <w:rFonts w:ascii="Arial Narrow" w:hAnsi="Arial Narrow"/>
          <w:color w:val="000000" w:themeColor="text1"/>
        </w:rPr>
        <w:t>Jaka jest rola karty MASTER dokładanej do kontrolerów serii PRxx2 (PR302, PR402, PR602LCD)?</w:t>
      </w:r>
    </w:p>
    <w:p w:rsidR="00350C38" w:rsidRPr="004839E2" w:rsidRDefault="00350C38" w:rsidP="00350C38">
      <w:pPr>
        <w:rPr>
          <w:color w:val="000000" w:themeColor="text1"/>
        </w:rPr>
      </w:pPr>
    </w:p>
    <w:p w:rsidR="00350C38" w:rsidRPr="004839E2" w:rsidRDefault="00350C38" w:rsidP="00350C38">
      <w:pPr>
        <w:rPr>
          <w:color w:val="000000" w:themeColor="text1"/>
        </w:rPr>
      </w:pPr>
      <w:r w:rsidRPr="004839E2">
        <w:rPr>
          <w:color w:val="000000" w:themeColor="text1"/>
        </w:rPr>
        <w:t xml:space="preserve">Karta </w:t>
      </w:r>
      <w:proofErr w:type="gramStart"/>
      <w:r w:rsidRPr="004839E2">
        <w:rPr>
          <w:color w:val="000000" w:themeColor="text1"/>
        </w:rPr>
        <w:t>MASTER która</w:t>
      </w:r>
      <w:proofErr w:type="gramEnd"/>
      <w:r w:rsidRPr="004839E2">
        <w:rPr>
          <w:color w:val="000000" w:themeColor="text1"/>
        </w:rPr>
        <w:t xml:space="preserve"> znajduje się w pakiecie wraz kontrolerem serii PRxx2 jest fabrycznie zaprogramowania jako użytkownik MASTER. Pełni jedynie rolę karty diagnostycznej, dzięki której można wykonać prosty test weryfikujący poprawność działania kontrolera oraz można przeprowadzić pełną procedurę RESET, wraz z zaprogramowaniem adresu </w:t>
      </w:r>
      <w:proofErr w:type="gramStart"/>
      <w:r w:rsidRPr="004839E2">
        <w:rPr>
          <w:color w:val="000000" w:themeColor="text1"/>
        </w:rPr>
        <w:t>ID (jeżeli</w:t>
      </w:r>
      <w:proofErr w:type="gramEnd"/>
      <w:r w:rsidRPr="004839E2">
        <w:rPr>
          <w:color w:val="000000" w:themeColor="text1"/>
        </w:rPr>
        <w:t xml:space="preserve"> czytnik jest wyposażony w klawiaturę numeryczną).</w:t>
      </w:r>
    </w:p>
    <w:p w:rsidR="00397EEC" w:rsidRPr="004839E2" w:rsidRDefault="00350C38" w:rsidP="00350C38">
      <w:pPr>
        <w:rPr>
          <w:color w:val="000000" w:themeColor="text1"/>
        </w:rPr>
      </w:pPr>
      <w:r w:rsidRPr="004839E2">
        <w:rPr>
          <w:color w:val="000000" w:themeColor="text1"/>
        </w:rPr>
        <w:t xml:space="preserve">Uwaga: Karta MASTER w odniesieniu do serii kontrolerów PRxx2 nie pełni roli karty programującej. Wszystkie kontrolery z tej serii mogą być programowanie tylko i wyłącznie poprzez interfejs komunikacyjny z poziomu oprogramowania </w:t>
      </w:r>
      <w:proofErr w:type="spellStart"/>
      <w:r w:rsidRPr="004839E2">
        <w:rPr>
          <w:color w:val="000000" w:themeColor="text1"/>
        </w:rPr>
        <w:t>RACS</w:t>
      </w:r>
      <w:proofErr w:type="spellEnd"/>
      <w:r w:rsidRPr="004839E2">
        <w:rPr>
          <w:color w:val="000000" w:themeColor="text1"/>
        </w:rPr>
        <w:t>.</w:t>
      </w:r>
    </w:p>
    <w:p w:rsidR="00350C38" w:rsidRPr="004839E2" w:rsidRDefault="00350C38" w:rsidP="00350C38">
      <w:pPr>
        <w:rPr>
          <w:color w:val="000000" w:themeColor="text1"/>
        </w:rPr>
      </w:pPr>
    </w:p>
    <w:p w:rsidR="00350C38" w:rsidRPr="004839E2" w:rsidRDefault="00350C38" w:rsidP="00350C38">
      <w:pPr>
        <w:rPr>
          <w:color w:val="000000" w:themeColor="text1"/>
        </w:rPr>
      </w:pPr>
    </w:p>
    <w:sectPr w:rsidR="00350C38" w:rsidRPr="004839E2" w:rsidSect="002D02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7A41"/>
    <w:multiLevelType w:val="hybridMultilevel"/>
    <w:tmpl w:val="D11837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65071AFB"/>
    <w:multiLevelType w:val="singleLevel"/>
    <w:tmpl w:val="AFF019CC"/>
    <w:lvl w:ilvl="0">
      <w:start w:val="1"/>
      <w:numFmt w:val="upperLetter"/>
      <w:pStyle w:val="Nagwek4"/>
      <w:lvlText w:val="%1."/>
      <w:lvlJc w:val="left"/>
      <w:pPr>
        <w:tabs>
          <w:tab w:val="num" w:pos="360"/>
        </w:tabs>
        <w:ind w:left="360" w:hanging="360"/>
      </w:pPr>
      <w:rPr>
        <w:rFonts w:hint="default"/>
      </w:rPr>
    </w:lvl>
  </w:abstractNum>
  <w:abstractNum w:abstractNumId="2">
    <w:nsid w:val="79F92B06"/>
    <w:multiLevelType w:val="hybridMultilevel"/>
    <w:tmpl w:val="B3DA3F8C"/>
    <w:lvl w:ilvl="0" w:tplc="51FA7DCE">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2"/>
  </w:num>
  <w:num w:numId="4">
    <w:abstractNumId w:val="1"/>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characterSpacingControl w:val="doNotCompress"/>
  <w:compat/>
  <w:rsids>
    <w:rsidRoot w:val="00350C38"/>
    <w:rsid w:val="000547E9"/>
    <w:rsid w:val="000604E3"/>
    <w:rsid w:val="000F4AD2"/>
    <w:rsid w:val="001F34F6"/>
    <w:rsid w:val="00214E8F"/>
    <w:rsid w:val="00233082"/>
    <w:rsid w:val="002820EA"/>
    <w:rsid w:val="002D0265"/>
    <w:rsid w:val="003114CC"/>
    <w:rsid w:val="00350C38"/>
    <w:rsid w:val="00375F39"/>
    <w:rsid w:val="00377989"/>
    <w:rsid w:val="00397EEC"/>
    <w:rsid w:val="003C009A"/>
    <w:rsid w:val="003E7F1D"/>
    <w:rsid w:val="00453CE2"/>
    <w:rsid w:val="00471C5C"/>
    <w:rsid w:val="004839E2"/>
    <w:rsid w:val="004D006F"/>
    <w:rsid w:val="004D13C2"/>
    <w:rsid w:val="005526CB"/>
    <w:rsid w:val="0055346B"/>
    <w:rsid w:val="005546B6"/>
    <w:rsid w:val="0061159B"/>
    <w:rsid w:val="00651504"/>
    <w:rsid w:val="00665BC1"/>
    <w:rsid w:val="006747B6"/>
    <w:rsid w:val="006F209F"/>
    <w:rsid w:val="00707B4C"/>
    <w:rsid w:val="00763C56"/>
    <w:rsid w:val="007F0B15"/>
    <w:rsid w:val="00813A59"/>
    <w:rsid w:val="00815FF5"/>
    <w:rsid w:val="0083123C"/>
    <w:rsid w:val="00853C4E"/>
    <w:rsid w:val="008707E4"/>
    <w:rsid w:val="008B09B4"/>
    <w:rsid w:val="008C7E03"/>
    <w:rsid w:val="009023A5"/>
    <w:rsid w:val="009120BA"/>
    <w:rsid w:val="009877D5"/>
    <w:rsid w:val="009E2A7E"/>
    <w:rsid w:val="00A36F65"/>
    <w:rsid w:val="00A45F6D"/>
    <w:rsid w:val="00AE1D79"/>
    <w:rsid w:val="00B11D25"/>
    <w:rsid w:val="00B1345B"/>
    <w:rsid w:val="00B81A73"/>
    <w:rsid w:val="00C26BE2"/>
    <w:rsid w:val="00D12F11"/>
    <w:rsid w:val="00D264E0"/>
    <w:rsid w:val="00D95E67"/>
    <w:rsid w:val="00D9695A"/>
    <w:rsid w:val="00DD20E5"/>
    <w:rsid w:val="00E924A1"/>
    <w:rsid w:val="00F060DC"/>
    <w:rsid w:val="00F46481"/>
    <w:rsid w:val="00F57C94"/>
    <w:rsid w:val="00FB5B45"/>
    <w:rsid w:val="00FF377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60DC"/>
    <w:rPr>
      <w:rFonts w:ascii="Arial Narrow" w:hAnsi="Arial Narrow"/>
      <w:color w:val="000000"/>
    </w:rPr>
  </w:style>
  <w:style w:type="paragraph" w:styleId="Nagwek1">
    <w:name w:val="heading 1"/>
    <w:basedOn w:val="Normalny"/>
    <w:next w:val="Normalny"/>
    <w:link w:val="Nagwek1Znak"/>
    <w:qFormat/>
    <w:rsid w:val="00F060DC"/>
    <w:pPr>
      <w:keepNext/>
      <w:jc w:val="center"/>
      <w:outlineLvl w:val="0"/>
    </w:pPr>
    <w:rPr>
      <w:rFonts w:ascii="Arial" w:hAnsi="Arial"/>
      <w:color w:val="auto"/>
      <w:sz w:val="40"/>
    </w:rPr>
  </w:style>
  <w:style w:type="paragraph" w:styleId="Nagwek2">
    <w:name w:val="heading 2"/>
    <w:basedOn w:val="Normalny"/>
    <w:next w:val="Normalny"/>
    <w:link w:val="Nagwek2Znak"/>
    <w:qFormat/>
    <w:rsid w:val="00F060DC"/>
    <w:pPr>
      <w:keepNext/>
      <w:outlineLvl w:val="1"/>
    </w:pPr>
    <w:rPr>
      <w:rFonts w:ascii="Arial" w:hAnsi="Arial" w:cs="Arial"/>
      <w:b/>
      <w:caps/>
      <w:sz w:val="22"/>
    </w:rPr>
  </w:style>
  <w:style w:type="paragraph" w:styleId="Nagwek3">
    <w:name w:val="heading 3"/>
    <w:basedOn w:val="Normalny"/>
    <w:next w:val="Normalny"/>
    <w:link w:val="Nagwek3Znak"/>
    <w:qFormat/>
    <w:rsid w:val="00F060DC"/>
    <w:pPr>
      <w:keepNext/>
      <w:outlineLvl w:val="2"/>
    </w:pPr>
    <w:rPr>
      <w:rFonts w:eastAsiaTheme="majorEastAsia" w:cstheme="majorBidi"/>
    </w:rPr>
  </w:style>
  <w:style w:type="paragraph" w:styleId="Nagwek4">
    <w:name w:val="heading 4"/>
    <w:basedOn w:val="Normalny"/>
    <w:next w:val="Normalny"/>
    <w:link w:val="Nagwek4Znak"/>
    <w:qFormat/>
    <w:rsid w:val="00F060DC"/>
    <w:pPr>
      <w:keepNext/>
      <w:numPr>
        <w:numId w:val="5"/>
      </w:numPr>
      <w:spacing w:before="240" w:after="60"/>
      <w:outlineLvl w:val="3"/>
    </w:pPr>
    <w:rPr>
      <w:rFonts w:eastAsiaTheme="minorEastAsia" w:cstheme="minorBidi"/>
      <w:b/>
      <w:color w:val="auto"/>
    </w:rPr>
  </w:style>
  <w:style w:type="paragraph" w:styleId="Nagwek5">
    <w:name w:val="heading 5"/>
    <w:basedOn w:val="Normalny"/>
    <w:next w:val="Normalny"/>
    <w:link w:val="Nagwek5Znak"/>
    <w:qFormat/>
    <w:rsid w:val="00F060DC"/>
    <w:pPr>
      <w:keepNext/>
      <w:outlineLvl w:val="4"/>
    </w:pPr>
    <w:rPr>
      <w:rFonts w:ascii="Arial" w:eastAsiaTheme="minorEastAsia" w:hAnsi="Arial" w:cstheme="minorBidi"/>
      <w:i/>
      <w:sz w:val="24"/>
    </w:rPr>
  </w:style>
  <w:style w:type="paragraph" w:styleId="Nagwek6">
    <w:name w:val="heading 6"/>
    <w:basedOn w:val="Normalny"/>
    <w:next w:val="Normalny"/>
    <w:link w:val="Nagwek6Znak"/>
    <w:uiPriority w:val="9"/>
    <w:semiHidden/>
    <w:unhideWhenUsed/>
    <w:qFormat/>
    <w:rsid w:val="00853C4E"/>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next w:val="Normalny"/>
    <w:link w:val="Nagwek7Znak"/>
    <w:uiPriority w:val="9"/>
    <w:semiHidden/>
    <w:unhideWhenUsed/>
    <w:qFormat/>
    <w:rsid w:val="00853C4E"/>
    <w:pPr>
      <w:spacing w:before="240" w:after="6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853C4E"/>
    <w:pPr>
      <w:spacing w:before="240" w:after="6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853C4E"/>
    <w:pPr>
      <w:spacing w:before="240" w:after="6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060DC"/>
    <w:rPr>
      <w:sz w:val="40"/>
    </w:rPr>
  </w:style>
  <w:style w:type="character" w:customStyle="1" w:styleId="Nagwek2Znak">
    <w:name w:val="Nagłówek 2 Znak"/>
    <w:basedOn w:val="Domylnaczcionkaakapitu"/>
    <w:link w:val="Nagwek2"/>
    <w:rsid w:val="00F060DC"/>
    <w:rPr>
      <w:rFonts w:cs="Arial"/>
      <w:b/>
      <w:caps/>
      <w:color w:val="000000"/>
      <w:sz w:val="22"/>
    </w:rPr>
  </w:style>
  <w:style w:type="character" w:customStyle="1" w:styleId="Nagwek3Znak">
    <w:name w:val="Nagłówek 3 Znak"/>
    <w:basedOn w:val="Domylnaczcionkaakapitu"/>
    <w:link w:val="Nagwek3"/>
    <w:rsid w:val="00F060DC"/>
    <w:rPr>
      <w:rFonts w:ascii="Arial Narrow" w:eastAsiaTheme="majorEastAsia" w:hAnsi="Arial Narrow" w:cstheme="majorBidi"/>
      <w:color w:val="000000"/>
    </w:rPr>
  </w:style>
  <w:style w:type="character" w:customStyle="1" w:styleId="Nagwek4Znak">
    <w:name w:val="Nagłówek 4 Znak"/>
    <w:basedOn w:val="Domylnaczcionkaakapitu"/>
    <w:link w:val="Nagwek4"/>
    <w:rsid w:val="00F060DC"/>
    <w:rPr>
      <w:rFonts w:ascii="Arial Narrow" w:eastAsiaTheme="minorEastAsia" w:hAnsi="Arial Narrow" w:cstheme="minorBidi"/>
      <w:b/>
    </w:rPr>
  </w:style>
  <w:style w:type="character" w:customStyle="1" w:styleId="Nagwek5Znak">
    <w:name w:val="Nagłówek 5 Znak"/>
    <w:basedOn w:val="Domylnaczcionkaakapitu"/>
    <w:link w:val="Nagwek5"/>
    <w:rsid w:val="00F060DC"/>
    <w:rPr>
      <w:rFonts w:eastAsiaTheme="minorEastAsia" w:cstheme="minorBidi"/>
      <w:i/>
      <w:color w:val="000000"/>
      <w:sz w:val="24"/>
    </w:rPr>
  </w:style>
  <w:style w:type="character" w:customStyle="1" w:styleId="Nagwek6Znak">
    <w:name w:val="Nagłówek 6 Znak"/>
    <w:basedOn w:val="Domylnaczcionkaakapitu"/>
    <w:link w:val="Nagwek6"/>
    <w:uiPriority w:val="9"/>
    <w:semiHidden/>
    <w:rsid w:val="00853C4E"/>
    <w:rPr>
      <w:rFonts w:asciiTheme="minorHAnsi" w:eastAsiaTheme="minorEastAsia" w:hAnsiTheme="minorHAnsi" w:cstheme="minorBidi"/>
      <w:b/>
      <w:bCs/>
      <w:color w:val="000000"/>
      <w:sz w:val="22"/>
      <w:szCs w:val="22"/>
    </w:rPr>
  </w:style>
  <w:style w:type="character" w:customStyle="1" w:styleId="Nagwek7Znak">
    <w:name w:val="Nagłówek 7 Znak"/>
    <w:basedOn w:val="Domylnaczcionkaakapitu"/>
    <w:link w:val="Nagwek7"/>
    <w:uiPriority w:val="9"/>
    <w:semiHidden/>
    <w:rsid w:val="00853C4E"/>
    <w:rPr>
      <w:rFonts w:asciiTheme="minorHAnsi" w:eastAsiaTheme="minorEastAsia" w:hAnsiTheme="minorHAnsi" w:cstheme="minorBidi"/>
      <w:color w:val="000000"/>
      <w:sz w:val="24"/>
      <w:szCs w:val="24"/>
    </w:rPr>
  </w:style>
  <w:style w:type="character" w:customStyle="1" w:styleId="Nagwek8Znak">
    <w:name w:val="Nagłówek 8 Znak"/>
    <w:basedOn w:val="Domylnaczcionkaakapitu"/>
    <w:link w:val="Nagwek8"/>
    <w:uiPriority w:val="9"/>
    <w:semiHidden/>
    <w:rsid w:val="00853C4E"/>
    <w:rPr>
      <w:rFonts w:asciiTheme="minorHAnsi" w:eastAsiaTheme="minorEastAsia" w:hAnsiTheme="minorHAnsi" w:cstheme="minorBidi"/>
      <w:i/>
      <w:iCs/>
      <w:color w:val="000000"/>
      <w:sz w:val="24"/>
      <w:szCs w:val="24"/>
    </w:rPr>
  </w:style>
  <w:style w:type="character" w:customStyle="1" w:styleId="Nagwek9Znak">
    <w:name w:val="Nagłówek 9 Znak"/>
    <w:basedOn w:val="Domylnaczcionkaakapitu"/>
    <w:link w:val="Nagwek9"/>
    <w:uiPriority w:val="9"/>
    <w:semiHidden/>
    <w:rsid w:val="00853C4E"/>
    <w:rPr>
      <w:rFonts w:asciiTheme="majorHAnsi" w:eastAsiaTheme="majorEastAsia" w:hAnsiTheme="majorHAnsi" w:cstheme="majorBidi"/>
      <w:color w:val="000000"/>
      <w:sz w:val="22"/>
      <w:szCs w:val="22"/>
    </w:rPr>
  </w:style>
  <w:style w:type="paragraph" w:styleId="Legenda">
    <w:name w:val="caption"/>
    <w:basedOn w:val="Normalny"/>
    <w:next w:val="Normalny"/>
    <w:uiPriority w:val="35"/>
    <w:semiHidden/>
    <w:unhideWhenUsed/>
    <w:qFormat/>
    <w:rsid w:val="00853C4E"/>
    <w:rPr>
      <w:rFonts w:cs="Mangal"/>
      <w:b/>
      <w:bCs/>
    </w:rPr>
  </w:style>
  <w:style w:type="paragraph" w:styleId="Tytu">
    <w:name w:val="Title"/>
    <w:basedOn w:val="Normalny"/>
    <w:link w:val="TytuZnak"/>
    <w:qFormat/>
    <w:rsid w:val="00F060DC"/>
    <w:pPr>
      <w:jc w:val="center"/>
    </w:pPr>
    <w:rPr>
      <w:rFonts w:ascii="Arial" w:eastAsiaTheme="majorEastAsia" w:hAnsi="Arial" w:cstheme="majorBidi"/>
      <w:i/>
      <w:color w:val="auto"/>
      <w:sz w:val="32"/>
    </w:rPr>
  </w:style>
  <w:style w:type="character" w:customStyle="1" w:styleId="TytuZnak">
    <w:name w:val="Tytuł Znak"/>
    <w:basedOn w:val="Domylnaczcionkaakapitu"/>
    <w:link w:val="Tytu"/>
    <w:rsid w:val="00F060DC"/>
    <w:rPr>
      <w:rFonts w:eastAsiaTheme="majorEastAsia" w:cstheme="majorBidi"/>
      <w:i/>
      <w:sz w:val="32"/>
    </w:rPr>
  </w:style>
  <w:style w:type="character" w:styleId="Pogrubienie">
    <w:name w:val="Strong"/>
    <w:basedOn w:val="Domylnaczcionkaakapitu"/>
    <w:uiPriority w:val="22"/>
    <w:qFormat/>
    <w:rsid w:val="00F060DC"/>
    <w:rPr>
      <w:b/>
      <w:bCs/>
    </w:rPr>
  </w:style>
  <w:style w:type="character" w:styleId="Uwydatnienie">
    <w:name w:val="Emphasis"/>
    <w:basedOn w:val="Domylnaczcionkaakapitu"/>
    <w:uiPriority w:val="20"/>
    <w:qFormat/>
    <w:rsid w:val="00853C4E"/>
    <w:rPr>
      <w:i/>
      <w:iCs/>
    </w:rPr>
  </w:style>
  <w:style w:type="paragraph" w:styleId="Bezodstpw">
    <w:name w:val="No Spacing"/>
    <w:uiPriority w:val="1"/>
    <w:qFormat/>
    <w:rsid w:val="00853C4E"/>
    <w:rPr>
      <w:rFonts w:ascii="Arial Narrow" w:hAnsi="Arial Narrow" w:cs="Calibri"/>
      <w:color w:val="000000"/>
    </w:rPr>
  </w:style>
  <w:style w:type="paragraph" w:styleId="Akapitzlist">
    <w:name w:val="List Paragraph"/>
    <w:basedOn w:val="Normalny"/>
    <w:uiPriority w:val="99"/>
    <w:qFormat/>
    <w:rsid w:val="00F060DC"/>
    <w:pPr>
      <w:ind w:left="720"/>
      <w:contextualSpacing/>
    </w:pPr>
    <w:rPr>
      <w:rFonts w:ascii="Times New Roman" w:hAnsi="Times New Roman"/>
    </w:rPr>
  </w:style>
  <w:style w:type="character" w:styleId="Wyrnieniedelikatne">
    <w:name w:val="Subtle Emphasis"/>
    <w:basedOn w:val="Domylnaczcionkaakapitu"/>
    <w:uiPriority w:val="19"/>
    <w:qFormat/>
    <w:rsid w:val="00853C4E"/>
    <w:rPr>
      <w:i/>
      <w:iCs/>
      <w:color w:val="808080" w:themeColor="text1" w:themeTint="7F"/>
    </w:rPr>
  </w:style>
  <w:style w:type="paragraph" w:styleId="Nagwekspisutreci">
    <w:name w:val="TOC Heading"/>
    <w:basedOn w:val="Nagwek1"/>
    <w:next w:val="Normalny"/>
    <w:uiPriority w:val="39"/>
    <w:semiHidden/>
    <w:unhideWhenUsed/>
    <w:qFormat/>
    <w:rsid w:val="00853C4E"/>
    <w:pPr>
      <w:spacing w:before="240" w:after="60"/>
      <w:jc w:val="left"/>
      <w:outlineLvl w:val="9"/>
    </w:pPr>
    <w:rPr>
      <w:rFonts w:asciiTheme="majorHAnsi" w:eastAsiaTheme="majorEastAsia" w:hAnsiTheme="majorHAnsi" w:cstheme="majorBidi"/>
      <w:b/>
      <w:bCs/>
      <w:color w:val="000000"/>
      <w:kern w:val="32"/>
      <w:sz w:val="32"/>
      <w:szCs w:val="32"/>
    </w:rPr>
  </w:style>
  <w:style w:type="paragraph" w:customStyle="1" w:styleId="Spistreci">
    <w:name w:val="Spis treści"/>
    <w:basedOn w:val="Spistreci1"/>
    <w:link w:val="SpistreciZnak1"/>
    <w:autoRedefine/>
    <w:rsid w:val="00D264E0"/>
    <w:pPr>
      <w:tabs>
        <w:tab w:val="left" w:leader="dot" w:pos="440"/>
      </w:tabs>
      <w:ind w:left="454"/>
      <w:outlineLvl w:val="4"/>
    </w:pPr>
    <w:rPr>
      <w:color w:val="000000" w:themeColor="text1"/>
    </w:rPr>
  </w:style>
  <w:style w:type="paragraph" w:styleId="Spistreci1">
    <w:name w:val="toc 1"/>
    <w:aliases w:val="Spis treści GG1"/>
    <w:basedOn w:val="Normalny"/>
    <w:next w:val="Normalny"/>
    <w:link w:val="Spistreci1Znak"/>
    <w:autoRedefine/>
    <w:uiPriority w:val="39"/>
    <w:qFormat/>
    <w:rsid w:val="00F060DC"/>
    <w:pPr>
      <w:tabs>
        <w:tab w:val="right" w:leader="dot" w:pos="9911"/>
      </w:tabs>
    </w:pPr>
    <w:rPr>
      <w:noProof/>
      <w:color w:val="auto"/>
      <w:sz w:val="18"/>
      <w:szCs w:val="18"/>
    </w:rPr>
  </w:style>
  <w:style w:type="character" w:customStyle="1" w:styleId="Spistreci1Znak">
    <w:name w:val="Spis treści 1 Znak"/>
    <w:aliases w:val="Spis treści GG1 Znak"/>
    <w:basedOn w:val="Domylnaczcionkaakapitu"/>
    <w:link w:val="Spistreci1"/>
    <w:uiPriority w:val="39"/>
    <w:rsid w:val="00853C4E"/>
    <w:rPr>
      <w:rFonts w:ascii="Arial Narrow" w:hAnsi="Arial Narrow"/>
      <w:noProof/>
      <w:sz w:val="18"/>
      <w:szCs w:val="18"/>
    </w:rPr>
  </w:style>
  <w:style w:type="character" w:customStyle="1" w:styleId="SpistreciZnak1">
    <w:name w:val="Spis treści Znak1"/>
    <w:basedOn w:val="Spistreci1Znak"/>
    <w:link w:val="Spistreci"/>
    <w:rsid w:val="00D264E0"/>
    <w:rPr>
      <w:color w:val="000000" w:themeColor="text1"/>
    </w:rPr>
  </w:style>
  <w:style w:type="paragraph" w:styleId="Spistreci2">
    <w:name w:val="toc 2"/>
    <w:basedOn w:val="Normalny"/>
    <w:next w:val="Normalny"/>
    <w:autoRedefine/>
    <w:uiPriority w:val="39"/>
    <w:unhideWhenUsed/>
    <w:rsid w:val="00B1345B"/>
    <w:pPr>
      <w:ind w:left="220"/>
    </w:pPr>
  </w:style>
  <w:style w:type="paragraph" w:styleId="Spistreci3">
    <w:name w:val="toc 3"/>
    <w:basedOn w:val="Normalny"/>
    <w:next w:val="Normalny"/>
    <w:autoRedefine/>
    <w:uiPriority w:val="39"/>
    <w:unhideWhenUsed/>
    <w:rsid w:val="00B1345B"/>
    <w:pPr>
      <w:ind w:left="440"/>
    </w:pPr>
  </w:style>
  <w:style w:type="paragraph" w:styleId="NormalnyWeb">
    <w:name w:val="Normal (Web)"/>
    <w:basedOn w:val="Normalny"/>
    <w:uiPriority w:val="99"/>
    <w:semiHidden/>
    <w:unhideWhenUsed/>
    <w:rsid w:val="000547E9"/>
    <w:pPr>
      <w:spacing w:before="100" w:beforeAutospacing="1" w:after="100" w:afterAutospacing="1"/>
    </w:pPr>
    <w:rPr>
      <w:rFonts w:ascii="Times New Roman" w:hAnsi="Times New Roman"/>
      <w:color w:val="auto"/>
      <w:sz w:val="24"/>
      <w:szCs w:val="24"/>
    </w:rPr>
  </w:style>
  <w:style w:type="paragraph" w:styleId="Tekstdymka">
    <w:name w:val="Balloon Text"/>
    <w:basedOn w:val="Normalny"/>
    <w:link w:val="TekstdymkaZnak"/>
    <w:uiPriority w:val="99"/>
    <w:semiHidden/>
    <w:unhideWhenUsed/>
    <w:rsid w:val="00DD20E5"/>
    <w:rPr>
      <w:rFonts w:ascii="Tahoma" w:hAnsi="Tahoma" w:cs="Tahoma"/>
      <w:sz w:val="16"/>
      <w:szCs w:val="16"/>
    </w:rPr>
  </w:style>
  <w:style w:type="character" w:customStyle="1" w:styleId="TekstdymkaZnak">
    <w:name w:val="Tekst dymka Znak"/>
    <w:basedOn w:val="Domylnaczcionkaakapitu"/>
    <w:link w:val="Tekstdymka"/>
    <w:uiPriority w:val="99"/>
    <w:semiHidden/>
    <w:rsid w:val="00DD20E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26626650">
      <w:bodyDiv w:val="1"/>
      <w:marLeft w:val="0"/>
      <w:marRight w:val="0"/>
      <w:marTop w:val="0"/>
      <w:marBottom w:val="0"/>
      <w:divBdr>
        <w:top w:val="none" w:sz="0" w:space="0" w:color="auto"/>
        <w:left w:val="none" w:sz="0" w:space="0" w:color="auto"/>
        <w:bottom w:val="none" w:sz="0" w:space="0" w:color="auto"/>
        <w:right w:val="none" w:sz="0" w:space="0" w:color="auto"/>
      </w:divBdr>
    </w:div>
    <w:div w:id="719675518">
      <w:bodyDiv w:val="1"/>
      <w:marLeft w:val="0"/>
      <w:marRight w:val="0"/>
      <w:marTop w:val="0"/>
      <w:marBottom w:val="0"/>
      <w:divBdr>
        <w:top w:val="none" w:sz="0" w:space="0" w:color="auto"/>
        <w:left w:val="none" w:sz="0" w:space="0" w:color="auto"/>
        <w:bottom w:val="none" w:sz="0" w:space="0" w:color="auto"/>
        <w:right w:val="none" w:sz="0" w:space="0" w:color="auto"/>
      </w:divBdr>
    </w:div>
    <w:div w:id="1042900634">
      <w:bodyDiv w:val="1"/>
      <w:marLeft w:val="0"/>
      <w:marRight w:val="0"/>
      <w:marTop w:val="0"/>
      <w:marBottom w:val="0"/>
      <w:divBdr>
        <w:top w:val="none" w:sz="0" w:space="0" w:color="auto"/>
        <w:left w:val="none" w:sz="0" w:space="0" w:color="auto"/>
        <w:bottom w:val="none" w:sz="0" w:space="0" w:color="auto"/>
        <w:right w:val="none" w:sz="0" w:space="0" w:color="auto"/>
      </w:divBdr>
    </w:div>
    <w:div w:id="205673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831</Words>
  <Characters>4989</Characters>
  <Application>Microsoft Office Word</Application>
  <DocSecurity>0</DocSecurity>
  <Lines>41</Lines>
  <Paragraphs>11</Paragraphs>
  <ScaleCrop>false</ScaleCrop>
  <Company/>
  <LinksUpToDate>false</LinksUpToDate>
  <CharactersWithSpaces>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GFG</dc:creator>
  <cp:lastModifiedBy>GFG</cp:lastModifiedBy>
  <cp:revision>8</cp:revision>
  <cp:lastPrinted>2015-12-14T07:13:00Z</cp:lastPrinted>
  <dcterms:created xsi:type="dcterms:W3CDTF">2015-11-29T11:51:00Z</dcterms:created>
  <dcterms:modified xsi:type="dcterms:W3CDTF">2015-12-14T07:13:00Z</dcterms:modified>
</cp:coreProperties>
</file>