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B9" w:rsidRPr="004668E1" w:rsidRDefault="003C4FB9" w:rsidP="004668E1">
      <w:pPr>
        <w:pStyle w:val="Standard"/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4668E1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1.5</w:t>
      </w:r>
    </w:p>
    <w:p w:rsidR="003C4FB9" w:rsidRPr="004668E1" w:rsidRDefault="003C4FB9" w:rsidP="004668E1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3C4FB9" w:rsidRPr="004668E1" w:rsidRDefault="003C4FB9" w:rsidP="004668E1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3C4FB9" w:rsidRPr="004668E1" w:rsidRDefault="003C4FB9" w:rsidP="004668E1">
      <w:pPr>
        <w:pStyle w:val="Standard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68E1">
        <w:rPr>
          <w:rFonts w:ascii="Arial" w:hAnsi="Arial" w:cs="Arial"/>
          <w:b/>
          <w:bCs/>
          <w:sz w:val="22"/>
          <w:szCs w:val="22"/>
        </w:rPr>
        <w:t>Wymagania w zakresie sieci teleinformatycznej</w:t>
      </w:r>
    </w:p>
    <w:p w:rsidR="003C4FB9" w:rsidRDefault="003C4FB9" w:rsidP="004668E1">
      <w:pPr>
        <w:pStyle w:val="Normalny1"/>
        <w:spacing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775A9A">
        <w:rPr>
          <w:rFonts w:ascii="Arial" w:hAnsi="Arial" w:cs="Arial"/>
          <w:b/>
          <w:i/>
          <w:iCs/>
          <w:sz w:val="22"/>
          <w:szCs w:val="22"/>
        </w:rPr>
        <w:t xml:space="preserve">Wymagania dotyczą modernizacji i rozbudowy sieci strukturalnej Szpitala </w:t>
      </w:r>
      <w:r w:rsidRPr="00775A9A">
        <w:rPr>
          <w:rFonts w:ascii="Arial" w:hAnsi="Arial" w:cs="Arial"/>
          <w:b/>
          <w:i/>
          <w:iCs/>
          <w:sz w:val="22"/>
          <w:szCs w:val="22"/>
        </w:rPr>
        <w:br/>
        <w:t>w obrębie budynku apteki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3C4FB9" w:rsidRPr="004668E1" w:rsidRDefault="003C4FB9" w:rsidP="004668E1">
      <w:pPr>
        <w:pStyle w:val="Normalny1"/>
        <w:spacing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iCs/>
        </w:rPr>
      </w:pPr>
      <w:r w:rsidRPr="00775A9A">
        <w:rPr>
          <w:rFonts w:ascii="Arial" w:hAnsi="Arial" w:cs="Arial"/>
        </w:rPr>
        <w:t xml:space="preserve">Celem zachowania 100% kompatybilności Zamawiający informuje, iż posiada sieć strukturalną wykonaną w systemie </w:t>
      </w:r>
      <w:r w:rsidRPr="00775A9A">
        <w:rPr>
          <w:rFonts w:ascii="Arial" w:hAnsi="Arial" w:cs="Arial"/>
          <w:i/>
          <w:iCs/>
        </w:rPr>
        <w:t>3M</w:t>
      </w:r>
      <w:r w:rsidRPr="00775A9A">
        <w:rPr>
          <w:rFonts w:ascii="Arial" w:hAnsi="Arial" w:cs="Arial"/>
          <w:i/>
          <w:iCs/>
          <w:vertAlign w:val="superscript"/>
        </w:rPr>
        <w:t>TM</w:t>
      </w:r>
      <w:r w:rsidRPr="00775A9A">
        <w:rPr>
          <w:rFonts w:ascii="Arial" w:hAnsi="Arial" w:cs="Arial"/>
          <w:i/>
          <w:iCs/>
        </w:rPr>
        <w:t xml:space="preserve"> Volition</w:t>
      </w:r>
      <w:r w:rsidRPr="00775A9A">
        <w:rPr>
          <w:rFonts w:ascii="Arial" w:hAnsi="Arial" w:cs="Arial"/>
          <w:i/>
          <w:iCs/>
          <w:vertAlign w:val="superscript"/>
        </w:rPr>
        <w:t>TM</w:t>
      </w:r>
      <w:r w:rsidRPr="00775A9A">
        <w:rPr>
          <w:rFonts w:ascii="Arial" w:hAnsi="Arial" w:cs="Arial"/>
        </w:rPr>
        <w:t xml:space="preserve"> i </w:t>
      </w:r>
      <w:r w:rsidRPr="00775A9A">
        <w:rPr>
          <w:rFonts w:ascii="Arial" w:hAnsi="Arial" w:cs="Arial"/>
          <w:i/>
          <w:iCs/>
        </w:rPr>
        <w:t xml:space="preserve">Legrand Mosaic </w:t>
      </w:r>
      <w:r w:rsidRPr="00775A9A">
        <w:rPr>
          <w:rFonts w:ascii="Arial" w:hAnsi="Arial" w:cs="Arial"/>
        </w:rPr>
        <w:t xml:space="preserve">opartą na urządzeniach aktywnych firmy HP serii ProCurve </w:t>
      </w:r>
      <w:r w:rsidRPr="00775A9A">
        <w:rPr>
          <w:rFonts w:ascii="Arial" w:hAnsi="Arial" w:cs="Arial"/>
          <w:iCs/>
        </w:rPr>
        <w:t xml:space="preserve">i wymaga przy realizacji rozbudowy posiadanego systemu okablowania zastosowania tego samego systemu </w:t>
      </w:r>
      <w:r w:rsidRPr="00775A9A">
        <w:rPr>
          <w:rFonts w:ascii="Arial" w:hAnsi="Arial" w:cs="Arial"/>
          <w:bCs/>
          <w:iCs/>
        </w:rPr>
        <w:t>(lub w pełni równoważnego)</w:t>
      </w:r>
      <w:r w:rsidRPr="00775A9A">
        <w:rPr>
          <w:rFonts w:ascii="Arial" w:hAnsi="Arial" w:cs="Arial"/>
          <w:iCs/>
        </w:rPr>
        <w:t xml:space="preserve"> ze względu na zachowanie w 100% jednolitych parametrów technicznych i jednolitej technologii posiadanego okablowania.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Zamawiający wymaga, aby Wykonawca wykazał się na etapie składania oferty lub projektowania ważnym Autoryzowanym Certyfikatem Systemu Okablowania Strukturalnego 3M Volition™ </w:t>
      </w:r>
      <w:r w:rsidRPr="00775A9A">
        <w:rPr>
          <w:rFonts w:ascii="Arial" w:hAnsi="Arial" w:cs="Arial"/>
          <w:bCs/>
        </w:rPr>
        <w:t>lub innego równoważnego certyfikatu</w:t>
      </w:r>
      <w:r w:rsidRPr="00775A9A">
        <w:rPr>
          <w:rFonts w:ascii="Arial" w:hAnsi="Arial" w:cs="Arial"/>
        </w:rPr>
        <w:t>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  <w:bCs/>
        </w:rPr>
      </w:pPr>
      <w:r w:rsidRPr="00775A9A">
        <w:rPr>
          <w:rFonts w:ascii="Arial" w:hAnsi="Arial" w:cs="Arial"/>
          <w:b/>
          <w:bCs/>
        </w:rPr>
        <w:t>WYMAGANIA TECHNICZNE DLA SIECI OKABLOWANIA STRUKTURALNEGO WRAZ Z DEDYKOWANĄ INSTALACJĄ ELEKTRYCZNĄ:</w:t>
      </w:r>
    </w:p>
    <w:p w:rsidR="003C4FB9" w:rsidRPr="00775A9A" w:rsidRDefault="003C4FB9" w:rsidP="00775A9A">
      <w:pPr>
        <w:pStyle w:val="Normalny1"/>
        <w:autoSpaceDN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system okablowania strukturalnego poziomego ma być zaprojektowany i wykonany jako system uniwersalny przeznaczony do obsługi aplikacji sieci komputerowej jak i telefonicznej;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wydajność projektowanego systemu należy ustalić minimum na klasę EA;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kabel logiczny S/FTP ma być w powłoce trudnopalnej LSOH (LSZH) z zerową wydzieliną halogenków oraz ma spełniać wymagania kategorii 7, natomiast wszystkie pozostałe elementy okablowania strukturalnego mają spełniać wymogi kategorii 6A;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system szkieletowy okablowania strukturalnego ma zapewniać wydajność klasy OF300 z włókien kategorii TIA OS2 oraz zgodnie z rekomendacją ITU G.652.D dla torów światłowodowych wg normy IEC60793-2-50 B1.3;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elementy pasywne składające się na system okablowania strukturalnego muszą być oznaczone nazwą lub znakiem firmowym tego samego producenta okablowania i pochodzić z jednolitej oferty rynkowej reprezentującej kompletny system w takim zakresie, aby zostały spełnione warunki niezbędne do uzyskania bezpłatnego certyfikatu gwarancyjnego ww. producenta – 25 letnia gwarancja producenta wydana dla Użytkownika;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producent oferowanego systemu okablowania strukturalnego musi spełniać wymagania jakościowe potwierdzone certyfikatem niezależnego laboratorium badawczego uprawnionego do wystawiania takich certyfikatów – akredytowanego przez Polskie Centrum Akredytacji;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Zamawiający wymaga przedstawienia odpowiednich certyfikatów zgodności wydanych przez niezależne laboratoria (np. GHMT) gwarantujących powtarzalne parametry elementów torów miedzianych jak i światłowodowych oraz potwierdzających zgodność parametrów elektrycznych jak i tłumienia i pasma przenoszenia komponentów światłowodowych z obowiązującymi normami;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producent dostarczanych komponentów ma zapewnić zgodność powyższych komponentów ze wszystkimi wymaganymi normami dotyczącymi bezpieczeństwa;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wydajność okablowania na najnowsze aplikacje, tj. zgodność z wytycznymi komitetów normalizacyjnych włącznie z draftem specyfikacji JTC1/25N 981 (dotyczy 10G Base-T);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zastosowany system ma umożliwiać zwielokrotnienie portów (np. poprzez możliwość wpięcia w złącza RJ45 spliterów) dla transmisji 10/100 Mbps.</w:t>
      </w:r>
    </w:p>
    <w:p w:rsidR="003C4FB9" w:rsidRPr="00775A9A" w:rsidRDefault="003C4FB9" w:rsidP="00775A9A">
      <w:pPr>
        <w:pStyle w:val="Normalny1"/>
        <w:numPr>
          <w:ilvl w:val="0"/>
          <w:numId w:val="18"/>
        </w:numPr>
        <w:autoSpaceDN/>
        <w:spacing w:line="240" w:lineRule="auto"/>
        <w:ind w:left="284" w:hanging="284"/>
        <w:jc w:val="both"/>
        <w:rPr>
          <w:rFonts w:ascii="Arial" w:hAnsi="Arial" w:cs="Arial"/>
          <w:bCs/>
        </w:rPr>
      </w:pPr>
      <w:r w:rsidRPr="00775A9A">
        <w:rPr>
          <w:rFonts w:ascii="Arial" w:hAnsi="Arial" w:cs="Arial"/>
          <w:bCs/>
        </w:rPr>
        <w:t>GNIAZDA – KOŃCOWE PUNKTY DOSTĘPOWE PEL.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Należy zaprojektować i wykonać elektryczno-logiczne punkty końcowe sieci PEL, zawierające: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2 gniazda logiczne ze złączami ekranowymi RJ45 K10 STP dla sieci 10 Gigabit Ethernet, spełniające wymogi kategorii 6A / klasa EA, złącza RJ 45 K10 STP przeznaczone do instalacji w zaawansowanych technologicznie sieciach zbudowanych w standardzie 10G Base-T, pełny ekran zabezpiecza transmisję przed zewnętrznymi zakłóceniami, gwarantując najwyższą jakość połączenia;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3 gniazda wtykowe elektryczne 2-biegunowe z bolcem uziemiającym (2P+Z) z blokadą (typu DATA) do podłączenia urządzeń końcowych.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i/>
          <w:iCs/>
          <w:u w:val="single"/>
        </w:rPr>
      </w:pPr>
      <w:r w:rsidRPr="00775A9A">
        <w:rPr>
          <w:rFonts w:ascii="Arial" w:hAnsi="Arial" w:cs="Arial"/>
          <w:i/>
          <w:iCs/>
          <w:u w:val="single"/>
        </w:rPr>
        <w:t>Wymagane parametry techniczne gniazd: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Gniazda RJ45: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wymiary 22,5x45 mm (standard Mosaic);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standard montażu keystone umożliwiający mocowanie złącza w ogólnodostępnym osprzęcie instalacyjnym;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instalacja bez użycia narzędzi – zintegrowane narzędzie w złączu (technologia „one-click”);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możliwość ponownego zarobienia złącza (gwarancja producenta na możliwość ponownego zarobienia złącza do 100 razy);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możliwość podłączenia kabla z góry lub z dołu złącza;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przeznaczone do podłączania kabla o średnicach żyły od </w:t>
      </w:r>
      <w:smartTag w:uri="urn:schemas-microsoft-com:office:smarttags" w:element="metricconverter">
        <w:smartTagPr>
          <w:attr w:name="ProductID" w:val="0,5 mm"/>
        </w:smartTagPr>
        <w:r w:rsidRPr="00775A9A">
          <w:rPr>
            <w:rFonts w:ascii="Arial" w:hAnsi="Arial" w:cs="Arial"/>
          </w:rPr>
          <w:t>0,5 mm</w:t>
        </w:r>
      </w:smartTag>
      <w:r w:rsidRPr="00775A9A">
        <w:rPr>
          <w:rFonts w:ascii="Arial" w:hAnsi="Arial" w:cs="Arial"/>
        </w:rPr>
        <w:t xml:space="preserve"> do </w:t>
      </w:r>
      <w:smartTag w:uri="urn:schemas-microsoft-com:office:smarttags" w:element="metricconverter">
        <w:smartTagPr>
          <w:attr w:name="ProductID" w:val="0,65 mm"/>
        </w:smartTagPr>
        <w:r w:rsidRPr="00775A9A">
          <w:rPr>
            <w:rFonts w:ascii="Arial" w:hAnsi="Arial" w:cs="Arial"/>
          </w:rPr>
          <w:t>0,65 mm</w:t>
        </w:r>
      </w:smartTag>
      <w:r w:rsidRPr="00775A9A">
        <w:rPr>
          <w:rFonts w:ascii="Arial" w:hAnsi="Arial" w:cs="Arial"/>
        </w:rPr>
        <w:t xml:space="preserve"> i izolacji żyły do </w:t>
      </w:r>
      <w:smartTag w:uri="urn:schemas-microsoft-com:office:smarttags" w:element="metricconverter">
        <w:smartTagPr>
          <w:attr w:name="ProductID" w:val="1,6 mm"/>
        </w:smartTagPr>
        <w:r w:rsidRPr="00775A9A">
          <w:rPr>
            <w:rFonts w:ascii="Arial" w:hAnsi="Arial" w:cs="Arial"/>
          </w:rPr>
          <w:t>1,6 mm</w:t>
        </w:r>
      </w:smartTag>
      <w:r w:rsidRPr="00775A9A">
        <w:rPr>
          <w:rFonts w:ascii="Arial" w:hAnsi="Arial" w:cs="Arial"/>
        </w:rPr>
        <w:t>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możliwość wykorzystania zarówno do połączeń komputerowych jak i telefonicznych (wpinanie w gniazdo RJ45 wtyczki RJ12 nie powodujące odkształcania się skrajnych pinów);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8 pinów;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ekranowane 360 stopni (klatka Faraday’a);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spełniające wymagania kategorii 6A / klasa EA (500 MHz) według ANSI/TIA/EIA-568B.2-1 i normy ISO/IEC 60603-7-5 oraz normy PN-EN 50173-1;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wyposażone w integralną zaślepkę przeciwkurczową;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wyposażone w opisy dla rozszycia w standardzie 568A lub 568B;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połączenia przyłączy RJ45 należy wykonać według normy EIA/TIA 568A/B.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Gniazda elektryczne: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2-biegunowe z bolcem uziemiającym (2P+Z) z blokadą (typu DATA);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10/16 A 250 V~;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standard Mosaic 45x45 mm;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kolor czerwony.</w:t>
      </w:r>
    </w:p>
    <w:p w:rsidR="003C4FB9" w:rsidRDefault="003C4FB9" w:rsidP="00775A9A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i/>
          <w:iCs/>
          <w:u w:val="single"/>
        </w:rPr>
      </w:pPr>
      <w:r w:rsidRPr="00775A9A">
        <w:rPr>
          <w:rFonts w:ascii="Arial" w:hAnsi="Arial" w:cs="Arial"/>
          <w:i/>
          <w:iCs/>
          <w:u w:val="single"/>
        </w:rPr>
        <w:t>Sposób montażu gniazd w końcowych punktach dostępowych PEL: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Gniazda końcowych punktów dostępowych PEL należy montować na ogół w kanałach kablowych PVC 100x50 mm (w przypadku użycia innych koryt należy skonsultować z Zamawiającym przed rozpoczęciem prac montażowych) z zastosowaniem uchwytów montażowych i ramek w standardzie Mosaic (45x45 mm):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4-modułowych (4M) dla gniazd logicznych RJ45 z wypełnieniem jednego wolnego modułu zaślepką 45x45 mm (jeden wolny moduł przewidziano pod przyszłą rozbudowę sieci);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6-modułowych (6M) dla gniazd elektrycznych z blokadą (typu DATA).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Montaż gniazd na wysokości 30 - </w:t>
      </w:r>
      <w:smartTag w:uri="urn:schemas-microsoft-com:office:smarttags" w:element="metricconverter">
        <w:smartTagPr>
          <w:attr w:name="ProductID" w:val="60 cm"/>
        </w:smartTagPr>
        <w:r w:rsidRPr="00775A9A">
          <w:rPr>
            <w:rFonts w:ascii="Arial" w:hAnsi="Arial" w:cs="Arial"/>
          </w:rPr>
          <w:t>60 cm</w:t>
        </w:r>
      </w:smartTag>
      <w:r w:rsidRPr="00775A9A">
        <w:rPr>
          <w:rFonts w:ascii="Arial" w:hAnsi="Arial" w:cs="Arial"/>
        </w:rPr>
        <w:t xml:space="preserve"> od podłogi (licząc od dolnej krawędzi kanału kablowego PVC, w którym montowane będą gniazda).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 takich pomieszczeniach jak np. gabinety zabiegowe – gniazda logiczne RJ45 i elektryczne z blokadą (typu DATA) w punkcie dostępowym PEL zaprojektowano jako podtynkowe, montowane w puszkach końcowych fi=60 z odstępnikami (do montażu w szeregu) z zastosowaniem uchwytów montażowych oraz jednej wspólnej (dla gniazd logicznych i elektrycznego) ramki maskującej 4x2M.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  <w:bCs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  <w:bCs/>
        </w:rPr>
      </w:pPr>
      <w:r w:rsidRPr="00775A9A">
        <w:rPr>
          <w:rFonts w:ascii="Arial" w:hAnsi="Arial" w:cs="Arial"/>
          <w:b/>
          <w:bCs/>
        </w:rPr>
        <w:t>Sposób montażu gniazd (podtynkowy) w poszczególnych pomieszczeniach należy ustalić z Zamawiającym przed rozpoczęciem prac.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Instalację można prowadzić w przestrzeni między</w:t>
      </w:r>
      <w:r>
        <w:rPr>
          <w:rFonts w:ascii="Arial" w:hAnsi="Arial" w:cs="Arial"/>
        </w:rPr>
        <w:t>-</w:t>
      </w:r>
      <w:r w:rsidRPr="00775A9A">
        <w:rPr>
          <w:rFonts w:ascii="Arial" w:hAnsi="Arial" w:cs="Arial"/>
        </w:rPr>
        <w:t>stropowej, przy odejściach pod tynkiem w rurach instalacyjnych karbowanych.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</w:rPr>
      </w:pPr>
      <w:r w:rsidRPr="00775A9A">
        <w:rPr>
          <w:rFonts w:ascii="Arial" w:hAnsi="Arial" w:cs="Arial"/>
          <w:b/>
        </w:rPr>
        <w:t>Lokalizacje punktów PEL w poszczególnym pomieszczeniach należy ustalać z kierownikiem Działu Informatyki lub osobą przez niego wyznaczoną. Ustalenia te muszą zostać pisemnie potwierdzone przez kierownika Działu Informatyki lub osobę przez niego wyznaczoną.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  <w:bCs/>
        </w:rPr>
      </w:pPr>
    </w:p>
    <w:p w:rsidR="003C4FB9" w:rsidRPr="00775A9A" w:rsidRDefault="003C4FB9" w:rsidP="00775A9A">
      <w:pPr>
        <w:pStyle w:val="Normalny1"/>
        <w:numPr>
          <w:ilvl w:val="0"/>
          <w:numId w:val="18"/>
        </w:numPr>
        <w:autoSpaceDN/>
        <w:spacing w:line="240" w:lineRule="auto"/>
        <w:ind w:left="284" w:hanging="284"/>
        <w:jc w:val="both"/>
        <w:rPr>
          <w:rFonts w:ascii="Arial" w:hAnsi="Arial" w:cs="Arial"/>
          <w:bCs/>
        </w:rPr>
      </w:pPr>
      <w:r w:rsidRPr="00775A9A">
        <w:rPr>
          <w:rFonts w:ascii="Arial" w:hAnsi="Arial" w:cs="Arial"/>
          <w:bCs/>
        </w:rPr>
        <w:t>OKABLOWANIE POZIOME.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Jako okablowanie poziome należy zaprojektować i zastosować medium transmisyjne </w:t>
      </w:r>
      <w:r w:rsidRPr="00775A9A">
        <w:rPr>
          <w:rFonts w:ascii="Arial" w:hAnsi="Arial" w:cs="Arial"/>
        </w:rPr>
        <w:br/>
        <w:t>w postaci logicznego skrętkowego kabla kategorii 7 10G S/FTP 4x2x0,5 mm</w:t>
      </w:r>
      <w:r w:rsidRPr="00775A9A">
        <w:rPr>
          <w:rFonts w:ascii="Arial" w:hAnsi="Arial" w:cs="Arial"/>
          <w:vertAlign w:val="superscript"/>
        </w:rPr>
        <w:t>2</w:t>
      </w:r>
      <w:r w:rsidRPr="00775A9A">
        <w:rPr>
          <w:rFonts w:ascii="Arial" w:hAnsi="Arial" w:cs="Arial"/>
        </w:rPr>
        <w:t xml:space="preserve"> LSOH.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Pozostałe komponenty systemu należy zaprojektować i zastosować jako ekranowane kategorii 6A tak aby docelowo został uzyskany system klasy E</w:t>
      </w:r>
      <w:r w:rsidRPr="00775A9A">
        <w:rPr>
          <w:rFonts w:ascii="Arial" w:hAnsi="Arial" w:cs="Arial"/>
          <w:vertAlign w:val="subscript"/>
        </w:rPr>
        <w:t>A</w:t>
      </w:r>
      <w:r w:rsidRPr="00775A9A">
        <w:rPr>
          <w:rFonts w:ascii="Arial" w:hAnsi="Arial" w:cs="Arial"/>
        </w:rPr>
        <w:t xml:space="preserve">. System taki ma umożliwić transmisję 10 Gb/s na odległość do </w:t>
      </w:r>
      <w:smartTag w:uri="urn:schemas-microsoft-com:office:smarttags" w:element="metricconverter">
        <w:smartTagPr>
          <w:attr w:name="ProductID" w:val="100 m"/>
        </w:smartTagPr>
        <w:r w:rsidRPr="00775A9A">
          <w:rPr>
            <w:rFonts w:ascii="Arial" w:hAnsi="Arial" w:cs="Arial"/>
          </w:rPr>
          <w:t>100 m</w:t>
        </w:r>
      </w:smartTag>
      <w:r w:rsidRPr="00775A9A">
        <w:rPr>
          <w:rFonts w:ascii="Arial" w:hAnsi="Arial" w:cs="Arial"/>
        </w:rPr>
        <w:t>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Należy zaprojektować i zastosować system składający się z w pełni ekranowanych elementów, szczelnych elektromagnetycznie, tzn. osłoniętych całkowicie (z każdej strony) tzw. klatką Faraday’a, wprowadzenie kabla ma zapewnić 360 stopniowy kontakt z ekranem kabla (to wymaganie dotyczy zarówno gniazd w zestawach naściennych, jak i w panelach krosowych).</w:t>
      </w:r>
    </w:p>
    <w:p w:rsidR="003C4FB9" w:rsidRPr="00775A9A" w:rsidRDefault="003C4FB9" w:rsidP="00775A9A">
      <w:pPr>
        <w:pStyle w:val="Normalny1"/>
        <w:tabs>
          <w:tab w:val="left" w:pos="0"/>
        </w:tabs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i/>
          <w:iCs/>
          <w:u w:val="single"/>
        </w:rPr>
      </w:pPr>
      <w:r w:rsidRPr="00775A9A">
        <w:rPr>
          <w:rFonts w:ascii="Arial" w:hAnsi="Arial" w:cs="Arial"/>
          <w:i/>
          <w:iCs/>
          <w:u w:val="single"/>
        </w:rPr>
        <w:t>Wymagane parametry techniczne dla kabla kategorii 7 10G S/FTP 4x2x0,5 mm</w:t>
      </w:r>
      <w:r w:rsidRPr="00775A9A">
        <w:rPr>
          <w:rFonts w:ascii="Arial" w:hAnsi="Arial" w:cs="Arial"/>
          <w:i/>
          <w:iCs/>
          <w:u w:val="single"/>
          <w:vertAlign w:val="superscript"/>
        </w:rPr>
        <w:t>2</w:t>
      </w:r>
      <w:r w:rsidRPr="00775A9A">
        <w:rPr>
          <w:rFonts w:ascii="Arial" w:hAnsi="Arial" w:cs="Arial"/>
          <w:i/>
          <w:iCs/>
          <w:u w:val="single"/>
        </w:rPr>
        <w:t xml:space="preserve"> LSOH:</w:t>
      </w:r>
    </w:p>
    <w:p w:rsidR="003C4FB9" w:rsidRPr="00775A9A" w:rsidRDefault="003C4FB9" w:rsidP="00775A9A">
      <w:pPr>
        <w:pStyle w:val="Normalny1"/>
        <w:autoSpaceDN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przewyższenie standardów EN 50167, EN 50173, ISO/IEC 11801, IEC 801-2, IEC 801-3, IEC 801-4 – duży margines ponad wymagania kategorii 6A / klasy EA (testowany do minimum 1000 MHz – propozycja nowej klasy F);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przeznaczenie do transmisji 10G Base-T;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żyła przewodząca – drut miedziany o średnicy zewnętrznej AWG 23 (</w:t>
      </w:r>
      <w:smartTag w:uri="urn:schemas-microsoft-com:office:smarttags" w:element="metricconverter">
        <w:smartTagPr>
          <w:attr w:name="ProductID" w:val="0,535 mm"/>
        </w:smartTagPr>
        <w:r w:rsidRPr="00775A9A">
          <w:rPr>
            <w:rFonts w:ascii="Arial" w:hAnsi="Arial" w:cs="Arial"/>
          </w:rPr>
          <w:t>0,535 mm</w:t>
        </w:r>
      </w:smartTag>
      <w:r w:rsidRPr="00775A9A">
        <w:rPr>
          <w:rFonts w:ascii="Arial" w:hAnsi="Arial" w:cs="Arial"/>
        </w:rPr>
        <w:t>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każda para oddzielnie ekranowana w aluminiowo-poliestrowej folii (PIMF);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oplot miedziany wspólny dla wszystkich 4 par;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powłoka zewnętrzna LSOH (Low Smoke Zero Halogen) zgodna ze standardami IEC 60754-1, NFC 32062 i NFC 32070 2.1;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powłoka zewnętrzna charakteryzująca się trwałą zmianą koloru w wypadku nieprawidłowej instalacji (skręcenie lub nadmierne zgięcie kabla);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średnica zewnętrzna kabla ≤ </w:t>
      </w:r>
      <w:smartTag w:uri="urn:schemas-microsoft-com:office:smarttags" w:element="metricconverter">
        <w:smartTagPr>
          <w:attr w:name="ProductID" w:val="8 mm"/>
        </w:smartTagPr>
        <w:r w:rsidRPr="00775A9A">
          <w:rPr>
            <w:rFonts w:ascii="Arial" w:hAnsi="Arial" w:cs="Arial"/>
          </w:rPr>
          <w:t>8 mm</w:t>
        </w:r>
      </w:smartTag>
      <w:r w:rsidRPr="00775A9A">
        <w:rPr>
          <w:rFonts w:ascii="Arial" w:hAnsi="Arial" w:cs="Arial"/>
        </w:rPr>
        <w:t>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Wszystkie przepusty przez stropy oraz przepusty przez ściany w przypadku przejść pomiędzy strefami pożarowymi należy zabezpieczyć stosując materiał ognioodporny (np. masa uszczelniająca o odpowiedniej odporności ogniowej).</w:t>
      </w:r>
    </w:p>
    <w:p w:rsidR="003C4FB9" w:rsidRPr="00775A9A" w:rsidRDefault="003C4FB9" w:rsidP="00775A9A">
      <w:pPr>
        <w:pStyle w:val="Normalny1"/>
        <w:tabs>
          <w:tab w:val="left" w:pos="0"/>
        </w:tabs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i/>
          <w:iCs/>
          <w:u w:val="single"/>
        </w:rPr>
      </w:pPr>
      <w:r w:rsidRPr="00775A9A">
        <w:rPr>
          <w:rFonts w:ascii="Arial" w:hAnsi="Arial" w:cs="Arial"/>
          <w:i/>
          <w:iCs/>
          <w:u w:val="single"/>
        </w:rPr>
        <w:t>Zalecenia instalacyjne: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i/>
          <w:iCs/>
        </w:rPr>
      </w:pP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maksymalny promień zagięcia kabla skrętkowego to 8 razy promień kabla;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siła naciągu kabla nie może przekroczyć 110 N;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okablowanie logiczne poziome należy układać jako jedno ciągłe łącze (tor transmisyjny) od punktu dystrybucyjnego FD do gniazda końcowego (punktu abonenckiego) bez żadnych złączy i spawów o odległości nieprzekraczającej 90 m;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należy zadbać o zabezpieczenie sieci okablowania przed zakłóceniami spowodowanymi przez źródła pól magnetycznych (EMI – Elektro-Magnetic Interference).</w:t>
      </w:r>
    </w:p>
    <w:p w:rsidR="003C4FB9" w:rsidRPr="00775A9A" w:rsidRDefault="003C4FB9" w:rsidP="00775A9A">
      <w:pPr>
        <w:pStyle w:val="Normalny1"/>
        <w:tabs>
          <w:tab w:val="left" w:pos="3538"/>
          <w:tab w:val="left" w:pos="3686"/>
        </w:tabs>
        <w:spacing w:line="240" w:lineRule="auto"/>
        <w:ind w:left="1843" w:hanging="1843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numPr>
          <w:ilvl w:val="0"/>
          <w:numId w:val="18"/>
        </w:numPr>
        <w:autoSpaceDN/>
        <w:spacing w:line="240" w:lineRule="auto"/>
        <w:ind w:left="284" w:hanging="284"/>
        <w:jc w:val="both"/>
        <w:rPr>
          <w:rFonts w:ascii="Arial" w:hAnsi="Arial" w:cs="Arial"/>
          <w:bCs/>
        </w:rPr>
      </w:pPr>
      <w:r w:rsidRPr="00775A9A">
        <w:rPr>
          <w:rFonts w:ascii="Arial" w:hAnsi="Arial" w:cs="Arial"/>
          <w:bCs/>
        </w:rPr>
        <w:t>PUNKTY DYSTRYBUCYJNE.</w:t>
      </w:r>
    </w:p>
    <w:p w:rsidR="003C4FB9" w:rsidRPr="00775A9A" w:rsidRDefault="003C4FB9" w:rsidP="00775A9A">
      <w:pPr>
        <w:pStyle w:val="Normalny1"/>
        <w:autoSpaceDN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autoSpaceDN/>
        <w:spacing w:line="240" w:lineRule="auto"/>
        <w:jc w:val="both"/>
        <w:rPr>
          <w:rFonts w:ascii="Arial" w:hAnsi="Arial" w:cs="Arial"/>
          <w:bCs/>
        </w:rPr>
      </w:pPr>
      <w:r w:rsidRPr="00775A9A">
        <w:rPr>
          <w:rFonts w:ascii="Arial" w:hAnsi="Arial" w:cs="Arial"/>
        </w:rPr>
        <w:t xml:space="preserve">3.1 </w:t>
      </w:r>
      <w:r w:rsidRPr="00775A9A">
        <w:rPr>
          <w:rFonts w:ascii="Arial" w:hAnsi="Arial" w:cs="Arial"/>
          <w:bCs/>
        </w:rPr>
        <w:t>Pomiędzy punktami dystrybucyjnymi należy wykonać połączenie światłowodowe kablem światłowodowym jednomodowym  9/125 minimum 12 włóknowym z obu stron zakończonym w szafach teleinformatycznych w panelach krosowych 19” światłowodowych zakończonych w ilości minimum 12 stykami LC (minimum 12 aktywnych linii światłowodowych – 6 par) wraz z wykonanymi pomiarami.</w:t>
      </w:r>
    </w:p>
    <w:p w:rsidR="003C4FB9" w:rsidRPr="00775A9A" w:rsidRDefault="003C4FB9" w:rsidP="00775A9A">
      <w:pPr>
        <w:pStyle w:val="Normalny1"/>
        <w:autoSpaceDN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</w:rPr>
      </w:pPr>
      <w:r w:rsidRPr="00775A9A">
        <w:rPr>
          <w:rFonts w:ascii="Arial" w:hAnsi="Arial" w:cs="Arial"/>
          <w:b/>
        </w:rPr>
        <w:t>Wykonawca wykorzystane punkty PEL obejmie jednakowo z nowymi punktami pomiarami, i 25-letnią gwarancją, umieści je w dokumentacji powykonawczej.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</w:rPr>
      </w:pPr>
      <w:r w:rsidRPr="00775A9A">
        <w:rPr>
          <w:rFonts w:ascii="Arial" w:hAnsi="Arial" w:cs="Arial"/>
          <w:b/>
        </w:rPr>
        <w:t>W przypadku zmiany koncepcji przeznaczenia pomieszczeń w całym obszarze objętym zamówieniem Wykonawca przed przystąpieniem do prac zobowiązany jest do uzgodnienia z Zamawiającym ilości punktów PEL i ich lokalizacji.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Do wykonania tego zakresu instalacji okablowania strukturalnego należy wykorzystać istniejący Lokalny Punkt Dystrybucyjny i doposażyć go w zależności od potrzeb</w:t>
      </w:r>
      <w:r>
        <w:rPr>
          <w:rFonts w:ascii="Arial" w:hAnsi="Arial" w:cs="Arial"/>
        </w:rPr>
        <w:t>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autoSpaceDN/>
        <w:spacing w:line="240" w:lineRule="auto"/>
        <w:jc w:val="both"/>
        <w:textAlignment w:val="auto"/>
        <w:rPr>
          <w:rFonts w:ascii="Arial" w:hAnsi="Arial" w:cs="Arial"/>
        </w:rPr>
      </w:pPr>
      <w:r w:rsidRPr="00775A9A">
        <w:rPr>
          <w:rFonts w:ascii="Arial" w:hAnsi="Arial" w:cs="Arial"/>
        </w:rPr>
        <w:t>Obecnie w</w:t>
      </w:r>
      <w:r>
        <w:rPr>
          <w:rFonts w:ascii="Arial" w:hAnsi="Arial" w:cs="Arial"/>
        </w:rPr>
        <w:t xml:space="preserve"> projektowanym</w:t>
      </w:r>
      <w:r w:rsidRPr="00775A9A">
        <w:rPr>
          <w:rFonts w:ascii="Arial" w:hAnsi="Arial" w:cs="Arial"/>
        </w:rPr>
        <w:t xml:space="preserve"> obszarze nie istnieje żadna instalacja okablowania strukturalnego.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</w:rPr>
      </w:pPr>
      <w:r w:rsidRPr="00775A9A">
        <w:rPr>
          <w:rFonts w:ascii="Arial" w:hAnsi="Arial" w:cs="Arial"/>
          <w:b/>
        </w:rPr>
        <w:t>Wykonawca nowe punkty PEL obejmie pomiarami, i 25-letnią</w:t>
      </w:r>
      <w:r>
        <w:rPr>
          <w:rFonts w:ascii="Arial" w:hAnsi="Arial" w:cs="Arial"/>
          <w:b/>
        </w:rPr>
        <w:t xml:space="preserve"> gwarancją</w:t>
      </w:r>
      <w:r w:rsidRPr="00775A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oraz </w:t>
      </w:r>
      <w:r w:rsidRPr="00775A9A">
        <w:rPr>
          <w:rFonts w:ascii="Arial" w:hAnsi="Arial" w:cs="Arial"/>
          <w:b/>
        </w:rPr>
        <w:t>umieści je w dokumentacji powykonawczej.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b/>
        </w:rPr>
      </w:pPr>
      <w:r w:rsidRPr="00775A9A">
        <w:rPr>
          <w:rFonts w:ascii="Arial" w:hAnsi="Arial" w:cs="Arial"/>
          <w:b/>
        </w:rPr>
        <w:t>W przypadku zmiany koncepcji przeznaczenia pomieszczeń w całym obszarze objętym zamówieniem Wykonawca przed przystąpieniem do prac zobowiązany jest do uzgodnienia z Zamawiającym ilości punktów PEL i ich lokalizacji.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numPr>
          <w:ilvl w:val="0"/>
          <w:numId w:val="18"/>
        </w:numPr>
        <w:autoSpaceDN/>
        <w:spacing w:line="240" w:lineRule="auto"/>
        <w:ind w:left="284" w:hanging="284"/>
        <w:jc w:val="both"/>
        <w:rPr>
          <w:rFonts w:ascii="Arial" w:hAnsi="Arial" w:cs="Arial"/>
          <w:bCs/>
        </w:rPr>
      </w:pPr>
      <w:r w:rsidRPr="00775A9A">
        <w:rPr>
          <w:rFonts w:ascii="Arial" w:hAnsi="Arial" w:cs="Arial"/>
          <w:bCs/>
        </w:rPr>
        <w:t>TESTY OKABLOWANIA POZIOMEGO I PIONOWEGO ORAZ OZNAKOWANIE.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Warunkiem koniecznym dla odbioru końcowego instalacji przez Zamawiającego jest uzyskanie gwarancji systemowej producenta potwierdzającej weryfikację wszystkich zainstalowanych torów na zgodność parametrów z wymaganiami norm minimum klasy E</w:t>
      </w:r>
      <w:r w:rsidRPr="00775A9A">
        <w:rPr>
          <w:rFonts w:ascii="Arial" w:hAnsi="Arial" w:cs="Arial"/>
          <w:vertAlign w:val="subscript"/>
        </w:rPr>
        <w:t>A</w:t>
      </w:r>
      <w:r w:rsidRPr="00775A9A">
        <w:rPr>
          <w:rFonts w:ascii="Arial" w:hAnsi="Arial" w:cs="Arial"/>
        </w:rPr>
        <w:t xml:space="preserve"> / kategorii 6A według obowiązujących norm.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 tym celu należy wykonać komplet pomiarów:</w:t>
      </w:r>
    </w:p>
    <w:p w:rsidR="003C4FB9" w:rsidRPr="00775A9A" w:rsidRDefault="003C4FB9" w:rsidP="00775A9A">
      <w:pPr>
        <w:pStyle w:val="Normalny1"/>
        <w:numPr>
          <w:ilvl w:val="0"/>
          <w:numId w:val="22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miernikiem dynamicznym (analizatorem), który posiada wgrane oprogramowanie umożliwiające pomiar parametrów według aktualnie obowiązujących norm;</w:t>
      </w:r>
    </w:p>
    <w:p w:rsidR="003C4FB9" w:rsidRPr="00775A9A" w:rsidRDefault="003C4FB9" w:rsidP="00775A9A">
      <w:pPr>
        <w:pStyle w:val="Normalny1"/>
        <w:numPr>
          <w:ilvl w:val="0"/>
          <w:numId w:val="22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pomiary należy wykonać w konfiguracji pomiarowej „łącza stałego” (ang. „permanent link”) – przy wykorzystaniu uniwersalnych adapterów pomiarowych do pomiaru łącza stałego kategorii 6A / klasy EA;</w:t>
      </w:r>
    </w:p>
    <w:p w:rsidR="003C4FB9" w:rsidRPr="00775A9A" w:rsidRDefault="003C4FB9" w:rsidP="00775A9A">
      <w:pPr>
        <w:pStyle w:val="Normalny1"/>
        <w:numPr>
          <w:ilvl w:val="0"/>
          <w:numId w:val="22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pomiar każdego toru transmisyjnego poziomego (miedzianego) musi zawierać specyfikację (normę) według której jest wykonywany pomiar: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mapa połączeń,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impedancja,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rezystancja pętli stałoprądowej,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prędkość propagacji,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tłumienie,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zmniejszenie przesłuchu zbliżnego,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stratność odbiciowa,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zmniejszenie przesłuchu zdalnego,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zmniejszenie przesłuchu zdalnego w odniesieniu do długości linii transmisyjnej,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sumaryczne zmniejszenie przesłuchu zdalnego w odniesieniu do długości linii transmisyjnej,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współczynnik tłumienia w odniesieniu do zmniejszenia przesłuchu,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sumaryczny współczynnik tłumienia w odniesieniu do zmniejszenia przesłuchu,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podane wartości graniczne (limit),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podane zapasy (najgorszy przypadek),</w:t>
      </w:r>
    </w:p>
    <w:p w:rsidR="003C4FB9" w:rsidRPr="00775A9A" w:rsidRDefault="003C4FB9" w:rsidP="00775A9A">
      <w:pPr>
        <w:pStyle w:val="Normalny1"/>
        <w:numPr>
          <w:ilvl w:val="0"/>
          <w:numId w:val="21"/>
        </w:numPr>
        <w:autoSpaceDN/>
        <w:spacing w:line="240" w:lineRule="auto"/>
        <w:ind w:left="568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informację o końcowym rezultacie pomiaru.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Sposób oznaczeń opisu gniazd należy uzgodnić z Użytkownikiem – Administratorem okablowania strukturalnego.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Dotychczasowe pomiary były wykonywane miernikiem FLUKE DTX-1800.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numPr>
          <w:ilvl w:val="0"/>
          <w:numId w:val="18"/>
        </w:numPr>
        <w:autoSpaceDN/>
        <w:spacing w:line="240" w:lineRule="auto"/>
        <w:ind w:left="284" w:hanging="284"/>
        <w:jc w:val="both"/>
        <w:rPr>
          <w:rFonts w:ascii="Arial" w:hAnsi="Arial" w:cs="Arial"/>
          <w:bCs/>
        </w:rPr>
      </w:pPr>
      <w:r w:rsidRPr="00775A9A">
        <w:rPr>
          <w:rFonts w:ascii="Arial" w:hAnsi="Arial" w:cs="Arial"/>
          <w:bCs/>
        </w:rPr>
        <w:t>DEDYKOWANA INSTALACJA ELEKTRYCZNA.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Zaprojektować dedykowaną instalacje elektryczną stanowiącą wyodrębnioną część instalacji elektrycznej 230/400V w Szpitalu dla potrzeb zasilania gniazd wtykowych 2P+Z z blokadą (typu DATA) w końcowych punktach dostępowych PEL sieci strukturalnej opisanej powyżej należy doprowadzić do nowej tablicy </w:t>
      </w:r>
      <w:r>
        <w:rPr>
          <w:rFonts w:ascii="Arial" w:hAnsi="Arial" w:cs="Arial"/>
        </w:rPr>
        <w:t>oraz zaprojektować i wykonać</w:t>
      </w:r>
      <w:r w:rsidRPr="00775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rozdzielnię</w:t>
      </w:r>
      <w:r w:rsidRPr="00775A9A">
        <w:rPr>
          <w:rFonts w:ascii="Arial" w:hAnsi="Arial" w:cs="Arial"/>
        </w:rPr>
        <w:t xml:space="preserve"> komputerową zasilającą</w:t>
      </w:r>
      <w:r>
        <w:rPr>
          <w:rFonts w:ascii="Arial" w:hAnsi="Arial" w:cs="Arial"/>
        </w:rPr>
        <w:t xml:space="preserve"> omawiany</w:t>
      </w:r>
      <w:r w:rsidRPr="00775A9A">
        <w:rPr>
          <w:rFonts w:ascii="Arial" w:hAnsi="Arial" w:cs="Arial"/>
        </w:rPr>
        <w:t xml:space="preserve"> </w:t>
      </w:r>
      <w:r w:rsidRPr="00417992">
        <w:rPr>
          <w:rFonts w:ascii="Arial" w:hAnsi="Arial" w:cs="Arial"/>
        </w:rPr>
        <w:t>obszar.</w:t>
      </w:r>
      <w:r w:rsidRPr="00775A9A">
        <w:rPr>
          <w:rFonts w:ascii="Arial" w:hAnsi="Arial" w:cs="Arial"/>
        </w:rPr>
        <w:t xml:space="preserve"> Tablicę należy zlokalizować w pomieszczeniu punktu dystrybucyjnego sieci okablowania strukturalnego.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Instalacje elektryczną dedykowaną należy zaprojektować w układzie TN-S z zastosowaniem zabezpieczeń przeciwprzepięciowych, przeciwporażeniowych (wyłączniki różnicowo-prądowe), nadprądowych.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Do wykonania instalacji dedykowanego zasilania dla sieci komputerowej należy przyjąć, iż na jeden obwód elektryczny NIE mogą przypadać więcej niż trzy punkty PEL.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Do tablicy należy doprowadzić dwa źródła zasilania: jedno niegwarantowane, a drugie gwarantowane, w tym celu należy zaprojektować, dostarczyć i uruchomić system zasilania gwarantowanego.</w:t>
      </w:r>
      <w:r>
        <w:rPr>
          <w:rFonts w:ascii="Arial" w:hAnsi="Arial" w:cs="Arial"/>
        </w:rPr>
        <w:t xml:space="preserve"> </w:t>
      </w:r>
      <w:r w:rsidRPr="00775A9A">
        <w:rPr>
          <w:rFonts w:ascii="Arial" w:hAnsi="Arial" w:cs="Arial"/>
        </w:rPr>
        <w:t>W tablicy należy zaprojektować i wykonać przełączanie mechaniczne pomiędzy tymi dwoma źródłami zasilania pozwalające na BEZPRZERWOWĄ pracę urządzeń podpiętych na wyjściu.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Tablice rozdzielczą doposażyć według potrzeb w: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rozłączniki izolacyjne;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3-fazowe wskaźniki obecności napięcia;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ochronniki przeciwprzepięciowe;</w:t>
      </w:r>
    </w:p>
    <w:p w:rsidR="003C4FB9" w:rsidRPr="00775A9A" w:rsidRDefault="003C4FB9" w:rsidP="00775A9A">
      <w:pPr>
        <w:pStyle w:val="Normalny1"/>
        <w:numPr>
          <w:ilvl w:val="0"/>
          <w:numId w:val="20"/>
        </w:numPr>
        <w:autoSpaceDN/>
        <w:spacing w:line="240" w:lineRule="auto"/>
        <w:ind w:left="284" w:hanging="284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wyłączniki różnicowoprądowe z członem nadprądowym 2-biegunowe B 16 A / 30 mA o charakterystyce A (1 wyłącznik na jeden obwód 1-fazowy).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Połączenia wewnątrz tablicy należy wykonać przewodem DY6.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Tablicę rozdzielczą należy uziemić do centralnego układu połączeń uziemiających </w:t>
      </w:r>
      <w:r>
        <w:rPr>
          <w:rFonts w:ascii="Arial" w:hAnsi="Arial" w:cs="Arial"/>
        </w:rPr>
        <w:br/>
      </w:r>
      <w:r w:rsidRPr="00775A9A">
        <w:rPr>
          <w:rFonts w:ascii="Arial" w:hAnsi="Arial" w:cs="Arial"/>
        </w:rPr>
        <w:t>i wyrównawczych. Połączenie należy wykonać przewodem LgYżo 10 mm</w:t>
      </w:r>
      <w:r w:rsidRPr="00775A9A">
        <w:rPr>
          <w:rFonts w:ascii="Arial" w:hAnsi="Arial" w:cs="Arial"/>
          <w:vertAlign w:val="superscript"/>
        </w:rPr>
        <w:t>2</w:t>
      </w:r>
      <w:r w:rsidRPr="00775A9A">
        <w:rPr>
          <w:rFonts w:ascii="Arial" w:hAnsi="Arial" w:cs="Arial"/>
        </w:rPr>
        <w:t xml:space="preserve"> w powłoce koloru żółto-zielonego.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autoSpaceDN/>
        <w:spacing w:line="240" w:lineRule="auto"/>
        <w:jc w:val="both"/>
        <w:textAlignment w:val="auto"/>
        <w:rPr>
          <w:rFonts w:ascii="Arial" w:hAnsi="Arial" w:cs="Arial"/>
        </w:rPr>
      </w:pPr>
      <w:r w:rsidRPr="00775A9A">
        <w:rPr>
          <w:rFonts w:ascii="Arial" w:hAnsi="Arial" w:cs="Arial"/>
        </w:rPr>
        <w:t>Pomieszczenie, z systemem gwarantowanego zasilania należy dostosować tak, aby warunki pracy urządzeń byłby zgodne z wytycznymi producenta sprzętu tam zainstalowanego.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  <w:u w:val="single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  <w:u w:val="single"/>
        </w:rPr>
        <w:t>Wymagania dla Systemu Zasilania Gwarantowanego</w:t>
      </w:r>
      <w:r w:rsidRPr="00775A9A">
        <w:rPr>
          <w:rFonts w:ascii="Arial" w:hAnsi="Arial" w:cs="Arial"/>
        </w:rPr>
        <w:t>: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-  musi być wyposażony w zasilacz UPS, który będzie zabezpieczał tablicę rozdzielczą dedykowanej instalacji elektrycznej 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musi być wyposażony w zestaw baterii i urządzenie UPS, który będzie zapewniał minimum 20 minutowe podtrzymanie zasilania przy założeniu, że pełne obciążenie wynosić będzie ilość punktów PEL wpiętych do tablicy * współczynnik nadmiarowości wynoszący 1,5, przyjęte obciążenie na każdy punkt PEL 200VA *  współczynnik jednoczesności 0,75.W projekcie należy umieścić obliczenia mocy potrzebnej do spełnienia tych wymagań,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zestaw baterii i urządzenie UPS muszą stanowić monoblok, tj. zestaw baterii musi być montowany w jednej obudowie z urządzeniem UPS lub stanowić monoblok zewnętrzny spięty z urządzeniem UPS,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urządzenie UPS musi być zaopatrzone w wewnętrzny układ by-pass umożliwiający zasilenie urządzenia bezpośrednio z sieci.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zgodnie z Rozporządzeniem Ministra Infrastruktury w sprawie warunków technicznych, jakim powinny odpowiadać budynki i ich usytuowanie UPS należy podpiąć do przeciwpożarowego wyłącznika prądu, który odetnie zasilanie wszystkich obwodów, z wyjątkiem obwodów zasilających instalacje i urządzenia, których funkcjonowanie jest niezbędne podczas pożaru.</w:t>
      </w:r>
    </w:p>
    <w:p w:rsidR="003C4FB9" w:rsidRPr="00775A9A" w:rsidRDefault="003C4FB9" w:rsidP="00775A9A">
      <w:pPr>
        <w:pStyle w:val="Normalny1"/>
        <w:autoSpaceDN/>
        <w:spacing w:line="240" w:lineRule="auto"/>
        <w:jc w:val="both"/>
        <w:textAlignment w:val="auto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  <w:u w:val="single"/>
        </w:rPr>
        <w:t>Wymagania dla urządzenia UPS</w:t>
      </w:r>
      <w:r w:rsidRPr="00775A9A">
        <w:rPr>
          <w:rFonts w:ascii="Arial" w:hAnsi="Arial" w:cs="Arial"/>
        </w:rPr>
        <w:t>: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- wyposażony w modułowy układ zasilania z indywidualnym programowaniem podstawowych modułów, dzięki czemu będzie można konfigurować wejścia i wyjścia. 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- dowolna konfiguracja trzy-i jednofazowego napięcia na wejściu i wyjściu. Dla </w:t>
      </w:r>
      <w:r>
        <w:rPr>
          <w:rFonts w:ascii="Arial" w:hAnsi="Arial" w:cs="Arial"/>
        </w:rPr>
        <w:t>SZpitala</w:t>
      </w:r>
      <w:r w:rsidRPr="00775A9A">
        <w:rPr>
          <w:rFonts w:ascii="Arial" w:hAnsi="Arial" w:cs="Arial"/>
        </w:rPr>
        <w:t xml:space="preserve"> przewidziano układ wejście i wyjście trójfazowe,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wyposażony w mikrokontroler zamontowany w każdym podstawowym module zdolny do monitorowania podstawowych funkcji każdej pojedynczej jednostki mocy, monitorowania swojego działania oraz sygnalizację wszelkich usterek,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- moduły podstawowe składające się z następujących bloków funkcjonalnych: mikroprocesorowa jednostka sterująca, prostownik, inwerter, wzmacniacz, ładowarka bateryjna, automatyczny bypass. Zasilacz UPS będzie się składał z modułów </w:t>
      </w:r>
      <w:r w:rsidRPr="00775A9A">
        <w:rPr>
          <w:rFonts w:ascii="Arial" w:hAnsi="Arial" w:cs="Arial"/>
        </w:rPr>
        <w:br/>
        <w:t>o mocy zapewniającej spełnienie założeń co do czasu podtrzymania 20 min.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- jednostka mocy typu Plug &amp; Play w celu ułatwienia rozbudowy i wszystkich prac konserwacyjnych. 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- każdy moduł jest połączony równolegle z innymi, identycznymi modułami, tak, aby UPS osiągnął wymaganą moc. Moduły mocy odseparowane od siebie i mogące pracować nawet, kiedy jeden z nich ma awarię. 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wyposażony w sygnalizację na przedzie modułu specjalnym kodem pokazują stany pracy elektronicznych podzespołów urządzenia,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wbudowany w przedniej części podświetlany alfanumeryczny wyświetlacz ciekłokrystaliczny (LCD). Na wyświetlaczu ma znajdować się również wskaźnik stanu pracy, który za pomocą kodów świetlnych wskazuje stany pracy i wszystkie stany alarmowe,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przyciski przy wyświetlaczu pozwalające użytkownikowi na: podgląd danych stanu pracy urządzenia, ustawianie parametrów pracy, analizę stanu każdego pojedynczego modułu zasilania, wybranie wykonanie zestawu testów funkcjonalnych,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wyposażony w port/porty szeregowe RS 232 i interfejs przekaźnikowy. Port(y) RS232 musi umożliwiać dostęp do funkcji diagnostycznych, aktualizacji oprogramowania urządzenia, danych operacyjnych UPS,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wyposażony w adapter SNMP wpięty do sieci LAN.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technologia on-line z podwójną konwersją,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napięcie wejściowe 400V +15%, -20%,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THD wejściowe prądu 3%,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współczynnik mocy na wejściu &gt; 0,99,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napięcie wyjściowe 400V +/-1%,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sprawność sieciowa (AC/AC on line) minimum 93%,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sprawność sieciowa (AC/AC tryb eco) minimum 99%,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tolerancja przeciążenia 125% przez 100s, 150% przez 30s,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stopień ochrony obudowy IP20,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 xml:space="preserve">- oprogramowanie zarządzające-monitorujące - oprogramowanie zarządzające zapewnia pełną ochronę pracy systemu komputerowego, daje również możliwość monitorowania parametrów linii zasilającej i stanu pracy UPS-a. Dzięki komunikacji poprzez port szeregowy RS232, otwarte pliki z danymi są automatycznie zachowywane przed zamknięciem systemu. Komunikaty informujące o stanie alarmowym są widoczne na ekranie komputera. Oprogramowanie umożliwia również podgląd roboczych parametrów pracy, takich jak napięcie wejściowe, napięcie wyjściowe, stan naładowania baterii, itp. 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  <w:u w:val="single"/>
        </w:rPr>
        <w:t>Wymagania dla zestawu baterii</w:t>
      </w:r>
      <w:r w:rsidRPr="00775A9A">
        <w:rPr>
          <w:rFonts w:ascii="Arial" w:hAnsi="Arial" w:cs="Arial"/>
        </w:rPr>
        <w:t>: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pojemność baterii nie powinna być mniejsza niż wyliczona w projekcie dla podtrzymania zasilania przez 20 minut,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praca w szerokim zakresie temperatur, jednakże optymalny zakres pracy to 20stC – 25stC,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znamionowa żywotność przy pracy buforowej/rezerwowej w temperaturze 20stC musi wynosić 10 do 12lat, mając na uwadze, iż przy wzroście temperatury pracy okres ten może ulec skróceniu.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  <w:u w:val="single"/>
        </w:rPr>
        <w:t>Wymagania dla kabli, przewodów zasilających i zabezpieczeń</w:t>
      </w:r>
      <w:r w:rsidRPr="00775A9A">
        <w:rPr>
          <w:rFonts w:ascii="Arial" w:hAnsi="Arial" w:cs="Arial"/>
        </w:rPr>
        <w:t>: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kable i przewody zasilające dobrać z uwzględnieniem dopuszczalnego spadku napięcia i obciążalności długotrwałej. Do obliczeń przyjąć moce i prądy maksymalne,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dobrać zabezpieczenia, zgodnie z normą PN-HD 60364-4-41 tak by spełniały warunek szybkiego wyłączenia,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</w:rPr>
        <w:t>- reaktancję przewodów o przekroju ≤ 50</w:t>
      </w:r>
      <w:r w:rsidRPr="00775A9A">
        <w:rPr>
          <w:rFonts w:ascii="Arial" w:hAnsi="Arial" w:cs="Arial"/>
          <w:bCs/>
        </w:rPr>
        <w:t> </w:t>
      </w:r>
      <w:r w:rsidRPr="00775A9A">
        <w:rPr>
          <w:rFonts w:ascii="Arial" w:hAnsi="Arial" w:cs="Arial"/>
        </w:rPr>
        <w:t>mm</w:t>
      </w:r>
      <w:r w:rsidRPr="00775A9A">
        <w:rPr>
          <w:rFonts w:ascii="Arial" w:hAnsi="Arial" w:cs="Arial"/>
          <w:vertAlign w:val="superscript"/>
        </w:rPr>
        <w:t>2</w:t>
      </w:r>
      <w:r w:rsidRPr="00775A9A">
        <w:rPr>
          <w:rFonts w:ascii="Arial" w:hAnsi="Arial" w:cs="Arial"/>
        </w:rPr>
        <w:t xml:space="preserve"> można pominąć, a wartość rezystancji żył r odczytać z katalogu „Kable elektroenergetyczne i sygnalizacyjne”.</w:t>
      </w: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775A9A">
      <w:pPr>
        <w:pStyle w:val="Normalny1"/>
        <w:spacing w:line="240" w:lineRule="auto"/>
        <w:jc w:val="both"/>
        <w:rPr>
          <w:rFonts w:ascii="Arial" w:hAnsi="Arial" w:cs="Arial"/>
        </w:rPr>
      </w:pPr>
      <w:r w:rsidRPr="00775A9A">
        <w:rPr>
          <w:rFonts w:ascii="Arial" w:hAnsi="Arial" w:cs="Arial"/>
          <w:u w:val="single"/>
        </w:rPr>
        <w:t>Ochrona przeciwporażeniowa</w:t>
      </w:r>
      <w:r w:rsidRPr="00775A9A">
        <w:rPr>
          <w:rFonts w:ascii="Arial" w:hAnsi="Arial" w:cs="Arial"/>
        </w:rPr>
        <w:t>: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- podstawową ochronę przed porażeniem prądem elektrycznym (tj. ochrona przed dotykiem bezpośrednim) należy zrealizować przez zastosowanie izolacji roboczej odpowiedniej do poziomu napięcia oraz obudów i osłon elementów znajdujących się pod napięciem.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- uzupełnienie ochrony podstawowej stanowić będą wyłączniki różnicowoprądowe o prądzie zadziałania 30 mA, instalowane we wszystkich obwodach odbiorczych,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- system ochrony dodatkowej należy wykonać zgodnie z normą PN-HD 60364-4-41,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- jako system dodatkowej ochrony przeciwporażeniowej należy zastosować "szybkie samoczynne wyłączenie zasilania" w układzie sieci TN-C-S,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- ochronę należy zrealizować przy pomocy wkładek bezpiecznikowych w rozłącznikach bezpiecznikowych zainstalowanych w rozdzielnicach tablicowych. Jako przewód ochronny zastosowano piątą żyłę (żyła PE) w przewodach,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- uziemienie powinno posiadać połączenie z wszystkimi dostępnymi uziomami naturalnymi i sztucznymi za pomocą przewodów ochronnych,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- szyny uziemienia ochronnego oraz izolację przewodów ochronnych oznaczono farbą żółto-zieloną.</w:t>
      </w:r>
    </w:p>
    <w:p w:rsidR="003C4FB9" w:rsidRPr="00775A9A" w:rsidRDefault="003C4FB9" w:rsidP="00775A9A">
      <w:pPr>
        <w:pStyle w:val="Normalny1"/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</w:p>
    <w:p w:rsidR="003C4FB9" w:rsidRPr="00775A9A" w:rsidRDefault="003C4FB9" w:rsidP="0062631C">
      <w:pPr>
        <w:pStyle w:val="Normalny1"/>
        <w:numPr>
          <w:ilvl w:val="0"/>
          <w:numId w:val="18"/>
        </w:numPr>
        <w:autoSpaceDN/>
        <w:spacing w:line="240" w:lineRule="auto"/>
        <w:ind w:left="284" w:hanging="284"/>
        <w:jc w:val="both"/>
        <w:rPr>
          <w:rFonts w:ascii="Arial" w:hAnsi="Arial" w:cs="Arial"/>
          <w:bCs/>
        </w:rPr>
      </w:pPr>
      <w:r w:rsidRPr="00775A9A">
        <w:rPr>
          <w:rFonts w:ascii="Arial" w:hAnsi="Arial" w:cs="Arial"/>
          <w:bCs/>
        </w:rPr>
        <w:t>NORMY I PRZEPISY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Projekt należy opracować przy uwzględnieniu wymagań wszystkich obowiązujących norm i przepisów a w szczególności: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 xml:space="preserve">- „Prawo Budowlane” - ustawa z dnia 7 lipca 1994r. z późniejszymi zmianami – tekst jednolity Dz. U. 2013 nr 0, poz. 1409 - stan prawny na dzień 29.11.2013r., 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Style w:val="h2"/>
          <w:rFonts w:ascii="Arial" w:hAnsi="Arial" w:cs="Arial"/>
          <w:sz w:val="24"/>
          <w:szCs w:val="24"/>
        </w:rPr>
        <w:t xml:space="preserve">- Rozporządzenie Ministra Infrastruktury z dnia 12 kwietnia 2002 r. w sprawie warunków technicznych, jakim powinny odpowiadać budynki i ich usytuowanie, </w:t>
      </w:r>
      <w:r w:rsidRPr="00775A9A">
        <w:rPr>
          <w:rStyle w:val="h1"/>
          <w:rFonts w:ascii="Arial" w:hAnsi="Arial" w:cs="Arial"/>
          <w:sz w:val="24"/>
          <w:szCs w:val="24"/>
        </w:rPr>
        <w:t>Dz. U. 2002 nr 75 poz. 690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Style w:val="h2"/>
          <w:rFonts w:ascii="Arial" w:hAnsi="Arial" w:cs="Arial"/>
          <w:sz w:val="24"/>
          <w:szCs w:val="24"/>
        </w:rPr>
        <w:t xml:space="preserve">- Rozporządzenie Ministra Gospodarki z dnia 21 sierpnia 2007 r. w sprawie zasadniczych wymagań dla sprzętu elektrycznego, </w:t>
      </w:r>
      <w:r w:rsidRPr="00775A9A">
        <w:rPr>
          <w:rStyle w:val="h1"/>
          <w:rFonts w:ascii="Arial" w:hAnsi="Arial" w:cs="Arial"/>
          <w:sz w:val="24"/>
          <w:szCs w:val="24"/>
        </w:rPr>
        <w:t>Dz. U. 2007 nr 155 poz. 1089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Style w:val="h2"/>
          <w:rFonts w:ascii="Arial" w:hAnsi="Arial" w:cs="Arial"/>
          <w:sz w:val="24"/>
          <w:szCs w:val="24"/>
        </w:rPr>
        <w:t xml:space="preserve">- Rozporządzenie Ministra Spraw Wewnętrznych i Administracji z dnia 7 czerwca 2010 r. w sprawie ochrony przeciwpożarowej budynków, innych obiektów budowlanych i terenów, </w:t>
      </w:r>
      <w:r w:rsidRPr="00775A9A">
        <w:rPr>
          <w:rStyle w:val="h1"/>
          <w:rFonts w:ascii="Arial" w:hAnsi="Arial" w:cs="Arial"/>
          <w:sz w:val="24"/>
          <w:szCs w:val="24"/>
        </w:rPr>
        <w:t>Dz.U. 2010 nr 109 poz. 719,</w:t>
      </w:r>
    </w:p>
    <w:p w:rsidR="003C4FB9" w:rsidRPr="00775A9A" w:rsidRDefault="003C4FB9" w:rsidP="00775A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75A9A">
        <w:rPr>
          <w:rFonts w:ascii="Arial" w:hAnsi="Arial" w:cs="Arial"/>
          <w:sz w:val="24"/>
          <w:szCs w:val="24"/>
        </w:rPr>
        <w:t>- Norma wieloarkuszowa PN-HD-60364 Instalacje elektryczne w obiektach budowlanych</w:t>
      </w:r>
    </w:p>
    <w:p w:rsidR="003C4FB9" w:rsidRPr="00775A9A" w:rsidRDefault="003C4FB9" w:rsidP="00775A9A">
      <w:pPr>
        <w:pStyle w:val="Normalny1"/>
        <w:autoSpaceDN/>
        <w:spacing w:line="240" w:lineRule="auto"/>
        <w:jc w:val="both"/>
        <w:rPr>
          <w:rFonts w:ascii="Arial" w:hAnsi="Arial" w:cs="Arial"/>
          <w:bCs/>
        </w:rPr>
      </w:pPr>
    </w:p>
    <w:p w:rsidR="003C4FB9" w:rsidRPr="00775A9A" w:rsidRDefault="003C4FB9" w:rsidP="00775A9A">
      <w:pPr>
        <w:pStyle w:val="Normalny1"/>
        <w:autoSpaceDN/>
        <w:spacing w:line="240" w:lineRule="auto"/>
        <w:jc w:val="both"/>
        <w:rPr>
          <w:rFonts w:ascii="Arial" w:hAnsi="Arial" w:cs="Arial"/>
          <w:bCs/>
        </w:rPr>
      </w:pPr>
    </w:p>
    <w:sectPr w:rsidR="003C4FB9" w:rsidRPr="00775A9A" w:rsidSect="006B6485">
      <w:footerReference w:type="default" r:id="rId7"/>
      <w:pgSz w:w="11906" w:h="16838"/>
      <w:pgMar w:top="1417" w:right="1417" w:bottom="1417" w:left="1417" w:header="708" w:footer="708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B9" w:rsidRDefault="003C4FB9" w:rsidP="004E1CD9">
      <w:pPr>
        <w:spacing w:after="0" w:line="240" w:lineRule="auto"/>
      </w:pPr>
      <w:r>
        <w:separator/>
      </w:r>
    </w:p>
  </w:endnote>
  <w:endnote w:type="continuationSeparator" w:id="0">
    <w:p w:rsidR="003C4FB9" w:rsidRDefault="003C4FB9" w:rsidP="004E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B9" w:rsidRPr="004E1CD9" w:rsidRDefault="003C4FB9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Pr="004E1CD9">
      <w:rPr>
        <w:rFonts w:ascii="Arial" w:hAnsi="Arial" w:cs="Arial"/>
      </w:rPr>
      <w:fldChar w:fldCharType="begin"/>
    </w:r>
    <w:r w:rsidRPr="004E1CD9">
      <w:rPr>
        <w:rFonts w:ascii="Arial" w:hAnsi="Arial" w:cs="Arial"/>
      </w:rPr>
      <w:instrText>PAGE   \* MERGEFORMAT</w:instrText>
    </w:r>
    <w:r w:rsidRPr="004E1CD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8</w:t>
    </w:r>
    <w:r w:rsidRPr="004E1CD9">
      <w:rPr>
        <w:rFonts w:ascii="Arial" w:hAnsi="Arial" w:cs="Arial"/>
      </w:rPr>
      <w:fldChar w:fldCharType="end"/>
    </w:r>
  </w:p>
  <w:p w:rsidR="003C4FB9" w:rsidRDefault="003C4F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B9" w:rsidRDefault="003C4FB9" w:rsidP="004E1CD9">
      <w:pPr>
        <w:spacing w:after="0" w:line="240" w:lineRule="auto"/>
      </w:pPr>
      <w:r>
        <w:separator/>
      </w:r>
    </w:p>
  </w:footnote>
  <w:footnote w:type="continuationSeparator" w:id="0">
    <w:p w:rsidR="003C4FB9" w:rsidRDefault="003C4FB9" w:rsidP="004E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126639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1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21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B09119E"/>
    <w:multiLevelType w:val="multilevel"/>
    <w:tmpl w:val="872E55C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172774D2"/>
    <w:multiLevelType w:val="hybridMultilevel"/>
    <w:tmpl w:val="D7C433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BA71F2"/>
    <w:multiLevelType w:val="hybridMultilevel"/>
    <w:tmpl w:val="4D46E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14F6F"/>
    <w:multiLevelType w:val="hybridMultilevel"/>
    <w:tmpl w:val="3970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72F37"/>
    <w:multiLevelType w:val="hybridMultilevel"/>
    <w:tmpl w:val="1364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34426A"/>
    <w:multiLevelType w:val="hybridMultilevel"/>
    <w:tmpl w:val="83A85552"/>
    <w:lvl w:ilvl="0" w:tplc="2AC87DC0">
      <w:start w:val="1"/>
      <w:numFmt w:val="none"/>
      <w:pStyle w:val="TBDaneTechniczne1"/>
      <w:lvlText w:val="–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56730A"/>
    <w:multiLevelType w:val="hybridMultilevel"/>
    <w:tmpl w:val="4E9AE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F67A2"/>
    <w:multiLevelType w:val="hybridMultilevel"/>
    <w:tmpl w:val="E9B6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8F3A7B"/>
    <w:multiLevelType w:val="hybridMultilevel"/>
    <w:tmpl w:val="7622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0321B"/>
    <w:multiLevelType w:val="hybridMultilevel"/>
    <w:tmpl w:val="F9362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B15B1"/>
    <w:multiLevelType w:val="hybridMultilevel"/>
    <w:tmpl w:val="A10A96C0"/>
    <w:lvl w:ilvl="0" w:tplc="322A03D6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45A5053B"/>
    <w:multiLevelType w:val="hybridMultilevel"/>
    <w:tmpl w:val="BDB4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57BFE"/>
    <w:multiLevelType w:val="hybridMultilevel"/>
    <w:tmpl w:val="1DA22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8E11FB"/>
    <w:multiLevelType w:val="hybridMultilevel"/>
    <w:tmpl w:val="018CCDF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F0E15A3"/>
    <w:multiLevelType w:val="hybridMultilevel"/>
    <w:tmpl w:val="7118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714B2"/>
    <w:multiLevelType w:val="hybridMultilevel"/>
    <w:tmpl w:val="538E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D179F"/>
    <w:multiLevelType w:val="hybridMultilevel"/>
    <w:tmpl w:val="6FE88F68"/>
    <w:lvl w:ilvl="0" w:tplc="19E6F6BC">
      <w:start w:val="1"/>
      <w:numFmt w:val="bullet"/>
      <w:pStyle w:val="TBnorm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60B58"/>
    <w:multiLevelType w:val="hybridMultilevel"/>
    <w:tmpl w:val="9F309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2"/>
  </w:num>
  <w:num w:numId="5">
    <w:abstractNumId w:val="16"/>
  </w:num>
  <w:num w:numId="6">
    <w:abstractNumId w:val="23"/>
  </w:num>
  <w:num w:numId="7">
    <w:abstractNumId w:val="10"/>
  </w:num>
  <w:num w:numId="8">
    <w:abstractNumId w:val="25"/>
  </w:num>
  <w:num w:numId="9">
    <w:abstractNumId w:val="20"/>
  </w:num>
  <w:num w:numId="10">
    <w:abstractNumId w:val="8"/>
  </w:num>
  <w:num w:numId="11">
    <w:abstractNumId w:val="19"/>
  </w:num>
  <w:num w:numId="12">
    <w:abstractNumId w:val="17"/>
  </w:num>
  <w:num w:numId="13">
    <w:abstractNumId w:val="6"/>
  </w:num>
  <w:num w:numId="14">
    <w:abstractNumId w:val="7"/>
  </w:num>
  <w:num w:numId="15">
    <w:abstractNumId w:val="14"/>
  </w:num>
  <w:num w:numId="16">
    <w:abstractNumId w:val="9"/>
  </w:num>
  <w:num w:numId="17">
    <w:abstractNumId w:val="12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18"/>
  </w:num>
  <w:num w:numId="25">
    <w:abstractNumId w:val="1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CE"/>
    <w:rsid w:val="000B6389"/>
    <w:rsid w:val="000C049E"/>
    <w:rsid w:val="000C4122"/>
    <w:rsid w:val="000E1F42"/>
    <w:rsid w:val="0010708C"/>
    <w:rsid w:val="00133B0A"/>
    <w:rsid w:val="00142288"/>
    <w:rsid w:val="00145711"/>
    <w:rsid w:val="001522E2"/>
    <w:rsid w:val="001911A6"/>
    <w:rsid w:val="001E22D0"/>
    <w:rsid w:val="002F6B96"/>
    <w:rsid w:val="0031379D"/>
    <w:rsid w:val="003634CB"/>
    <w:rsid w:val="00363932"/>
    <w:rsid w:val="003C4FB9"/>
    <w:rsid w:val="003C739D"/>
    <w:rsid w:val="00405ACA"/>
    <w:rsid w:val="00417992"/>
    <w:rsid w:val="004565B1"/>
    <w:rsid w:val="00456749"/>
    <w:rsid w:val="004668E1"/>
    <w:rsid w:val="004D28FB"/>
    <w:rsid w:val="004D4D77"/>
    <w:rsid w:val="004E1CD9"/>
    <w:rsid w:val="004E6BCC"/>
    <w:rsid w:val="00503225"/>
    <w:rsid w:val="00553FC5"/>
    <w:rsid w:val="0057502C"/>
    <w:rsid w:val="005836E4"/>
    <w:rsid w:val="005B645C"/>
    <w:rsid w:val="006205E5"/>
    <w:rsid w:val="0062631C"/>
    <w:rsid w:val="00693D6B"/>
    <w:rsid w:val="00694E40"/>
    <w:rsid w:val="006B6485"/>
    <w:rsid w:val="006C42BC"/>
    <w:rsid w:val="00767D32"/>
    <w:rsid w:val="00775A9A"/>
    <w:rsid w:val="00781341"/>
    <w:rsid w:val="007816C0"/>
    <w:rsid w:val="007A6062"/>
    <w:rsid w:val="007B2277"/>
    <w:rsid w:val="007C1BA5"/>
    <w:rsid w:val="007E269C"/>
    <w:rsid w:val="007F5C16"/>
    <w:rsid w:val="00841570"/>
    <w:rsid w:val="008516C5"/>
    <w:rsid w:val="00863EF7"/>
    <w:rsid w:val="00867EFA"/>
    <w:rsid w:val="00876B74"/>
    <w:rsid w:val="008838D1"/>
    <w:rsid w:val="00886DBA"/>
    <w:rsid w:val="00893CFC"/>
    <w:rsid w:val="008C36CE"/>
    <w:rsid w:val="008C407E"/>
    <w:rsid w:val="008F274D"/>
    <w:rsid w:val="00900C3D"/>
    <w:rsid w:val="00950AF0"/>
    <w:rsid w:val="009523B0"/>
    <w:rsid w:val="00993EB6"/>
    <w:rsid w:val="009C006D"/>
    <w:rsid w:val="009C0BAB"/>
    <w:rsid w:val="009E6F1B"/>
    <w:rsid w:val="00A05159"/>
    <w:rsid w:val="00A40696"/>
    <w:rsid w:val="00A46C20"/>
    <w:rsid w:val="00AD715C"/>
    <w:rsid w:val="00B03C3F"/>
    <w:rsid w:val="00B52ED7"/>
    <w:rsid w:val="00B8484C"/>
    <w:rsid w:val="00B948E8"/>
    <w:rsid w:val="00BA4577"/>
    <w:rsid w:val="00BB7A74"/>
    <w:rsid w:val="00BE389F"/>
    <w:rsid w:val="00C3670D"/>
    <w:rsid w:val="00C44A43"/>
    <w:rsid w:val="00C45F95"/>
    <w:rsid w:val="00C758A4"/>
    <w:rsid w:val="00C93F79"/>
    <w:rsid w:val="00C95EF8"/>
    <w:rsid w:val="00CC79E6"/>
    <w:rsid w:val="00CD409E"/>
    <w:rsid w:val="00D831C7"/>
    <w:rsid w:val="00E322A4"/>
    <w:rsid w:val="00E82F51"/>
    <w:rsid w:val="00EA5806"/>
    <w:rsid w:val="00F12645"/>
    <w:rsid w:val="00F22030"/>
    <w:rsid w:val="00F52992"/>
    <w:rsid w:val="00F563E4"/>
    <w:rsid w:val="00F67100"/>
    <w:rsid w:val="00FB658E"/>
    <w:rsid w:val="00FE0DB8"/>
    <w:rsid w:val="00FE266A"/>
    <w:rsid w:val="00FF2BE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C36C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36CE"/>
    <w:pPr>
      <w:keepNext/>
      <w:numPr>
        <w:numId w:val="10"/>
      </w:numPr>
      <w:spacing w:before="240" w:after="60"/>
      <w:outlineLvl w:val="0"/>
    </w:pPr>
    <w:rPr>
      <w:rFonts w:ascii="Century Gothic" w:hAnsi="Century Gothic"/>
      <w:b/>
      <w:bCs/>
      <w:kern w:val="32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36CE"/>
    <w:pPr>
      <w:keepNext/>
      <w:numPr>
        <w:ilvl w:val="1"/>
        <w:numId w:val="10"/>
      </w:numPr>
      <w:spacing w:before="240" w:after="60"/>
      <w:outlineLvl w:val="1"/>
    </w:pPr>
    <w:rPr>
      <w:rFonts w:ascii="Century Gothic" w:hAnsi="Century Gothic"/>
      <w:b/>
      <w:bCs/>
      <w:i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36CE"/>
    <w:pPr>
      <w:keepNext/>
      <w:numPr>
        <w:ilvl w:val="2"/>
        <w:numId w:val="10"/>
      </w:numPr>
      <w:spacing w:before="240" w:after="60"/>
      <w:outlineLvl w:val="2"/>
    </w:pPr>
    <w:rPr>
      <w:rFonts w:ascii="Century Gothic" w:hAnsi="Century Gothic"/>
      <w:b/>
      <w:bCs/>
      <w:sz w:val="26"/>
      <w:szCs w:val="26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36CE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36C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6CE"/>
    <w:pPr>
      <w:numPr>
        <w:ilvl w:val="5"/>
        <w:numId w:val="10"/>
      </w:numPr>
      <w:spacing w:before="240" w:after="60"/>
      <w:outlineLvl w:val="5"/>
    </w:pPr>
    <w:rPr>
      <w:b/>
      <w:bCs/>
      <w:sz w:val="20"/>
      <w:szCs w:val="20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6CE"/>
    <w:pPr>
      <w:numPr>
        <w:ilvl w:val="6"/>
        <w:numId w:val="10"/>
      </w:numPr>
      <w:spacing w:before="240" w:after="60"/>
      <w:outlineLvl w:val="6"/>
    </w:pPr>
    <w:rPr>
      <w:sz w:val="24"/>
      <w:szCs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6CE"/>
    <w:pPr>
      <w:numPr>
        <w:ilvl w:val="7"/>
        <w:numId w:val="10"/>
      </w:numPr>
      <w:spacing w:before="240" w:after="60"/>
      <w:outlineLvl w:val="7"/>
    </w:pPr>
    <w:rPr>
      <w:i/>
      <w:iCs/>
      <w:sz w:val="24"/>
      <w:szCs w:val="24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6CE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6CE"/>
    <w:rPr>
      <w:rFonts w:ascii="Century Gothic" w:hAnsi="Century Gothic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36CE"/>
    <w:rPr>
      <w:rFonts w:ascii="Century Gothic" w:hAnsi="Century Gothic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36CE"/>
    <w:rPr>
      <w:rFonts w:ascii="Century Gothic" w:hAnsi="Century Gothic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36CE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36CE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C36CE"/>
    <w:rPr>
      <w:rFonts w:ascii="Calibri" w:hAnsi="Calibri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36CE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C36CE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C36CE"/>
    <w:rPr>
      <w:rFonts w:ascii="Cambria" w:hAnsi="Cambria"/>
    </w:rPr>
  </w:style>
  <w:style w:type="paragraph" w:styleId="ListParagraph">
    <w:name w:val="List Paragraph"/>
    <w:basedOn w:val="Normal"/>
    <w:uiPriority w:val="99"/>
    <w:qFormat/>
    <w:rsid w:val="008C36CE"/>
    <w:pPr>
      <w:spacing w:after="0" w:line="360" w:lineRule="auto"/>
      <w:ind w:left="720"/>
      <w:contextualSpacing/>
      <w:jc w:val="both"/>
    </w:pPr>
    <w:rPr>
      <w:rFonts w:ascii="Arial" w:eastAsia="Times New Roman" w:hAnsi="Arial"/>
    </w:rPr>
  </w:style>
  <w:style w:type="paragraph" w:customStyle="1" w:styleId="Normalny1">
    <w:name w:val="Normalny1"/>
    <w:uiPriority w:val="99"/>
    <w:rsid w:val="008C36CE"/>
    <w:pPr>
      <w:widowControl w:val="0"/>
      <w:suppressAutoHyphens/>
      <w:autoSpaceDN w:val="0"/>
      <w:spacing w:line="100" w:lineRule="atLeast"/>
      <w:textAlignment w:val="baseline"/>
    </w:pPr>
    <w:rPr>
      <w:rFonts w:ascii="Times New Roman" w:hAnsi="Times New Roman" w:cs="Tahoma"/>
      <w:kern w:val="3"/>
      <w:sz w:val="24"/>
      <w:szCs w:val="24"/>
      <w:lang w:eastAsia="ar-SA"/>
    </w:rPr>
  </w:style>
  <w:style w:type="paragraph" w:styleId="Caption">
    <w:name w:val="caption"/>
    <w:basedOn w:val="Normal"/>
    <w:next w:val="Normal"/>
    <w:uiPriority w:val="99"/>
    <w:qFormat/>
    <w:rsid w:val="008C36CE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52"/>
      <w:szCs w:val="24"/>
      <w:lang w:eastAsia="pl-PL"/>
    </w:rPr>
  </w:style>
  <w:style w:type="paragraph" w:customStyle="1" w:styleId="Standard">
    <w:name w:val="Standard"/>
    <w:uiPriority w:val="99"/>
    <w:rsid w:val="008C36C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950A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05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Bnormal104">
    <w:name w:val="TB_normal_10/4"/>
    <w:basedOn w:val="Normal"/>
    <w:link w:val="TBnormal104Znak"/>
    <w:uiPriority w:val="99"/>
    <w:rsid w:val="00B03C3F"/>
    <w:pPr>
      <w:spacing w:before="200" w:after="80" w:line="320" w:lineRule="exact"/>
      <w:ind w:left="284" w:right="141" w:firstLine="709"/>
      <w:jc w:val="both"/>
    </w:pPr>
    <w:rPr>
      <w:rFonts w:ascii="Arial" w:hAnsi="Arial"/>
      <w:sz w:val="24"/>
      <w:szCs w:val="24"/>
      <w:lang w:eastAsia="pl-PL"/>
    </w:rPr>
  </w:style>
  <w:style w:type="character" w:customStyle="1" w:styleId="TBnormal104Znak">
    <w:name w:val="TB_normal_10/4 Znak"/>
    <w:link w:val="TBnormal104"/>
    <w:uiPriority w:val="99"/>
    <w:locked/>
    <w:rsid w:val="00B03C3F"/>
    <w:rPr>
      <w:rFonts w:ascii="Arial" w:hAnsi="Arial"/>
      <w:sz w:val="24"/>
      <w:lang w:eastAsia="pl-PL"/>
    </w:rPr>
  </w:style>
  <w:style w:type="character" w:customStyle="1" w:styleId="TBNorm44Znak">
    <w:name w:val="TB_Norm_4/4 Znak"/>
    <w:link w:val="TBNorm44"/>
    <w:uiPriority w:val="99"/>
    <w:locked/>
    <w:rsid w:val="005B645C"/>
    <w:rPr>
      <w:rFonts w:ascii="Arial" w:hAnsi="Arial"/>
      <w:sz w:val="24"/>
      <w:lang w:eastAsia="pl-PL"/>
    </w:rPr>
  </w:style>
  <w:style w:type="paragraph" w:customStyle="1" w:styleId="TBNorm44">
    <w:name w:val="TB_Norm_4/4"/>
    <w:basedOn w:val="Normal"/>
    <w:link w:val="TBNorm44Znak"/>
    <w:uiPriority w:val="99"/>
    <w:rsid w:val="005B645C"/>
    <w:pPr>
      <w:spacing w:before="80" w:after="80" w:line="320" w:lineRule="exact"/>
      <w:ind w:left="284" w:right="141" w:firstLine="709"/>
      <w:jc w:val="both"/>
    </w:pPr>
    <w:rPr>
      <w:rFonts w:ascii="Arial" w:hAnsi="Arial"/>
      <w:sz w:val="24"/>
      <w:szCs w:val="20"/>
      <w:lang w:eastAsia="pl-PL"/>
    </w:rPr>
  </w:style>
  <w:style w:type="paragraph" w:customStyle="1" w:styleId="TBDaneTechniczne1">
    <w:name w:val="TB_DaneTechniczne1"/>
    <w:uiPriority w:val="99"/>
    <w:rsid w:val="004D28FB"/>
    <w:pPr>
      <w:numPr>
        <w:numId w:val="25"/>
      </w:numPr>
      <w:tabs>
        <w:tab w:val="left" w:pos="567"/>
        <w:tab w:val="left" w:pos="3402"/>
        <w:tab w:val="left" w:pos="3544"/>
        <w:tab w:val="left" w:pos="4253"/>
        <w:tab w:val="left" w:pos="4395"/>
        <w:tab w:val="left" w:pos="5103"/>
        <w:tab w:val="left" w:pos="5245"/>
        <w:tab w:val="left" w:pos="5954"/>
        <w:tab w:val="left" w:pos="6096"/>
        <w:tab w:val="left" w:pos="6804"/>
        <w:tab w:val="left" w:pos="6946"/>
        <w:tab w:val="left" w:pos="7655"/>
        <w:tab w:val="left" w:pos="7797"/>
      </w:tabs>
      <w:spacing w:line="320" w:lineRule="exact"/>
      <w:ind w:right="57"/>
      <w:jc w:val="both"/>
    </w:pPr>
    <w:rPr>
      <w:rFonts w:ascii="Arial" w:eastAsia="Times New Roman" w:hAnsi="Arial"/>
      <w:sz w:val="24"/>
      <w:szCs w:val="24"/>
    </w:rPr>
  </w:style>
  <w:style w:type="paragraph" w:styleId="NoSpacing">
    <w:name w:val="No Spacing"/>
    <w:uiPriority w:val="99"/>
    <w:qFormat/>
    <w:rsid w:val="00142288"/>
    <w:rPr>
      <w:lang w:eastAsia="en-US"/>
    </w:rPr>
  </w:style>
  <w:style w:type="character" w:customStyle="1" w:styleId="h2">
    <w:name w:val="h2"/>
    <w:uiPriority w:val="99"/>
    <w:rsid w:val="00142288"/>
  </w:style>
  <w:style w:type="character" w:customStyle="1" w:styleId="h1">
    <w:name w:val="h1"/>
    <w:uiPriority w:val="99"/>
    <w:rsid w:val="00142288"/>
  </w:style>
  <w:style w:type="paragraph" w:customStyle="1" w:styleId="TBnormy">
    <w:name w:val="TB_normy"/>
    <w:basedOn w:val="Normal"/>
    <w:uiPriority w:val="99"/>
    <w:rsid w:val="00142288"/>
    <w:pPr>
      <w:numPr>
        <w:numId w:val="26"/>
      </w:numPr>
      <w:tabs>
        <w:tab w:val="left" w:pos="567"/>
        <w:tab w:val="left" w:pos="3544"/>
        <w:tab w:val="left" w:pos="3686"/>
        <w:tab w:val="left" w:pos="4395"/>
        <w:tab w:val="left" w:pos="4536"/>
      </w:tabs>
      <w:spacing w:after="0" w:line="320" w:lineRule="exact"/>
      <w:jc w:val="both"/>
    </w:pPr>
    <w:rPr>
      <w:rFonts w:ascii="Arial" w:hAnsi="Arial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4E1C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1CD9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4E1C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CD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8</Pages>
  <Words>2969</Words>
  <Characters>17815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MAREK</dc:creator>
  <cp:keywords/>
  <dc:description/>
  <cp:lastModifiedBy>kasia</cp:lastModifiedBy>
  <cp:revision>8</cp:revision>
  <cp:lastPrinted>2016-05-07T15:54:00Z</cp:lastPrinted>
  <dcterms:created xsi:type="dcterms:W3CDTF">2015-09-03T13:27:00Z</dcterms:created>
  <dcterms:modified xsi:type="dcterms:W3CDTF">2016-05-07T15:55:00Z</dcterms:modified>
</cp:coreProperties>
</file>